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0392F" w14:textId="77777777" w:rsidR="006818B5" w:rsidRDefault="00000000">
      <w:pPr>
        <w:spacing w:before="1400"/>
        <w:jc w:val="center"/>
      </w:pPr>
      <w:r>
        <w:rPr>
          <w:b/>
          <w:bCs/>
          <w:color w:val="1F3864"/>
          <w:sz w:val="40"/>
          <w:szCs w:val="40"/>
        </w:rPr>
        <w:t>METODINĖS REKOMENDACIJOS</w:t>
      </w:r>
    </w:p>
    <w:p w14:paraId="65EE84A2" w14:textId="77777777" w:rsidR="006818B5" w:rsidRDefault="00000000">
      <w:pPr>
        <w:spacing w:before="200" w:after="100"/>
        <w:jc w:val="center"/>
      </w:pPr>
      <w:r>
        <w:rPr>
          <w:b/>
          <w:bCs/>
          <w:color w:val="1F3864"/>
          <w:sz w:val="30"/>
          <w:szCs w:val="30"/>
        </w:rPr>
        <w:t>PROJEKTŲ VYKDYTOJAMS DĖL DALYVIŲ ŽINIŲ IR ĮGŪDŽIŲ</w:t>
      </w:r>
    </w:p>
    <w:p w14:paraId="0A631C69" w14:textId="77777777" w:rsidR="006818B5" w:rsidRDefault="00000000">
      <w:pPr>
        <w:spacing w:after="500"/>
        <w:jc w:val="center"/>
      </w:pPr>
      <w:r>
        <w:rPr>
          <w:b/>
          <w:bCs/>
          <w:color w:val="1F3864"/>
          <w:sz w:val="30"/>
          <w:szCs w:val="30"/>
        </w:rPr>
        <w:t xml:space="preserve">CIVILINĖS SAUGOS SRITYJE VERTINIMO </w:t>
      </w:r>
    </w:p>
    <w:p w14:paraId="1745AEA8" w14:textId="77777777" w:rsidR="006818B5" w:rsidRDefault="00000000">
      <w:pPr>
        <w:spacing w:after="200"/>
        <w:jc w:val="center"/>
      </w:pPr>
      <w:r>
        <w:rPr>
          <w:i/>
          <w:iCs/>
          <w:color w:val="595959"/>
        </w:rPr>
        <w:t>Bendruomenės inicijuotos vietos plėtros (BIVP) metodu įgyvendinamų</w:t>
      </w:r>
    </w:p>
    <w:p w14:paraId="674A1395" w14:textId="77777777" w:rsidR="006818B5" w:rsidRDefault="00000000">
      <w:pPr>
        <w:spacing w:after="800"/>
        <w:jc w:val="center"/>
      </w:pPr>
      <w:r>
        <w:rPr>
          <w:i/>
          <w:iCs/>
          <w:color w:val="595959"/>
        </w:rPr>
        <w:t>civilinės saugos švietimo veiklų dalyviams</w:t>
      </w:r>
    </w:p>
    <w:p w14:paraId="1FDE2FF2" w14:textId="77777777" w:rsidR="006818B5" w:rsidRDefault="00000000">
      <w:pPr>
        <w:spacing w:after="100"/>
        <w:jc w:val="center"/>
      </w:pPr>
      <w:r>
        <w:rPr>
          <w:color w:val="595959"/>
          <w:sz w:val="18"/>
          <w:szCs w:val="18"/>
        </w:rPr>
        <w:t>Parengta pagal Viešojo valdymo plėtros programos pažangos priemonės Nr. 01-004-08-04-01</w:t>
      </w:r>
    </w:p>
    <w:p w14:paraId="29E21136" w14:textId="77777777" w:rsidR="006818B5" w:rsidRDefault="00000000">
      <w:pPr>
        <w:jc w:val="center"/>
      </w:pPr>
      <w:r>
        <w:rPr>
          <w:color w:val="595959"/>
          <w:sz w:val="18"/>
          <w:szCs w:val="18"/>
        </w:rPr>
        <w:t xml:space="preserve">„Didinti visuomenės įsitraukimą į vietos problemų sprendimą“ </w:t>
      </w:r>
      <w:r w:rsidRPr="00144C3D">
        <w:rPr>
          <w:bCs/>
          <w:szCs w:val="24"/>
        </w:rPr>
        <w:t>veiklos „BIVP metodo taikymas: parama vietos plėtros strategijų įgyvendinimui“ (civilinės saugos švietimas)“</w:t>
      </w:r>
      <w:r>
        <w:rPr>
          <w:b/>
          <w:szCs w:val="24"/>
        </w:rPr>
        <w:t xml:space="preserve"> </w:t>
      </w:r>
      <w:r>
        <w:rPr>
          <w:b/>
          <w:szCs w:val="24"/>
        </w:rPr>
        <w:br/>
      </w:r>
      <w:r>
        <w:rPr>
          <w:color w:val="595959"/>
          <w:sz w:val="18"/>
          <w:szCs w:val="18"/>
        </w:rPr>
        <w:t>projektų finansavimo sąlygų</w:t>
      </w:r>
    </w:p>
    <w:p w14:paraId="60BB043B" w14:textId="77777777" w:rsidR="006818B5" w:rsidRDefault="00000000">
      <w:pPr>
        <w:spacing w:after="100"/>
        <w:jc w:val="center"/>
      </w:pPr>
      <w:r>
        <w:rPr>
          <w:color w:val="595959"/>
          <w:sz w:val="18"/>
          <w:szCs w:val="18"/>
        </w:rPr>
        <w:t>aprašo reikalavimus</w:t>
      </w:r>
    </w:p>
    <w:p w14:paraId="019E2D72" w14:textId="77777777" w:rsidR="006818B5" w:rsidRDefault="00000000">
      <w:r>
        <w:br w:type="page"/>
      </w:r>
    </w:p>
    <w:p w14:paraId="2C421202" w14:textId="77777777" w:rsidR="006818B5" w:rsidRDefault="00000000">
      <w:pPr>
        <w:pStyle w:val="Heading1"/>
        <w:spacing w:before="0"/>
      </w:pPr>
      <w:bookmarkStart w:id="0" w:name="_Toc235429004"/>
      <w:r>
        <w:lastRenderedPageBreak/>
        <w:t>1. Įvadas ir taikymo sritis</w:t>
      </w:r>
      <w:bookmarkEnd w:id="0"/>
    </w:p>
    <w:p w14:paraId="7DB994EA" w14:textId="77777777" w:rsidR="006818B5" w:rsidRDefault="00000000">
      <w:pPr>
        <w:spacing w:after="140" w:line="264" w:lineRule="auto"/>
        <w:jc w:val="both"/>
      </w:pPr>
      <w:r>
        <w:t>Šios metodinės rekomendacijos skirtos projektų, kurie taikant bendruomenės inicijuotos vietos plėtros (toliau – BIVP) metodą įgyvendina gyventojų švietimo civilinės saugos klausimais veiklas, vykdytojams. Rekomendacijos parengtos vadovaujantis 2022–2030 metų Viešojo valdymo plėtros programos pažangos priemonės Nr. 01-004-08-04-01 „Didinti visuomenės įsitraukimą į vietos problemų sprendimą“ aprašu (toliau – Aprašas).</w:t>
      </w:r>
    </w:p>
    <w:p w14:paraId="5392D792" w14:textId="77777777" w:rsidR="006818B5" w:rsidRDefault="00000000">
      <w:pPr>
        <w:spacing w:after="140" w:line="264" w:lineRule="auto"/>
        <w:jc w:val="both"/>
      </w:pPr>
      <w:r>
        <w:t>Aprašo 7 priedas</w:t>
      </w:r>
      <w:r>
        <w:rPr>
          <w:rStyle w:val="FootnoteReference"/>
        </w:rPr>
        <w:footnoteReference w:id="1"/>
      </w:r>
      <w:r>
        <w:t xml:space="preserve"> nustato pareigą projekto veiklų dalyvių žinias ir (ar) įgūdžius civilinės saugos srityje įvertinti du kartus – prieš dalyviui pradedant dalyvauti veiklose ir jam šias veiklas baigus. Šis vertinimas yra pagrindas apskaičiuoti stebėsenos rodiklio R-01-004-08-04-01-04 „BIVP projektų veiklų dalyvių, kurie, dalyvaudami švietimo civilinės saugos klausimais veiklose, įgijo įgūdžių, dalis“ reikšmę, kurios siektina vertė – ne mažiau kaip 95 proc. iki 2029 m.*.</w:t>
      </w:r>
    </w:p>
    <w:p w14:paraId="0E7F29A3" w14:textId="77777777" w:rsidR="006818B5" w:rsidRDefault="00000000">
      <w:pPr>
        <w:pBdr>
          <w:left w:val="single" w:sz="18" w:space="8" w:color="1F3864"/>
        </w:pBdr>
        <w:shd w:val="clear" w:color="auto" w:fill="F2F2F2"/>
        <w:spacing w:before="80" w:after="160"/>
        <w:ind w:left="120"/>
        <w:jc w:val="both"/>
        <w:rPr>
          <w:i/>
          <w:iCs/>
          <w:color w:val="595959"/>
          <w:sz w:val="20"/>
          <w:szCs w:val="20"/>
        </w:rPr>
      </w:pPr>
      <w:r>
        <w:rPr>
          <w:i/>
          <w:iCs/>
          <w:color w:val="595959"/>
          <w:sz w:val="20"/>
          <w:szCs w:val="20"/>
        </w:rPr>
        <w:t>Rekomendacijos nekeičia ir nepapildo Aprašo teisinių reikalavimų – jos paaiškina, kaip juos praktiškai įgyvendinti. Esant neatitikimui, vadovaujamasi Aprašo ir jo priedų nuostatomis bei administruojančios institucijos (CPVA) reikalavimais.</w:t>
      </w:r>
    </w:p>
    <w:p w14:paraId="3F6D12E1" w14:textId="77777777" w:rsidR="006818B5" w:rsidRDefault="00000000">
      <w:pPr>
        <w:pBdr>
          <w:left w:val="single" w:sz="18" w:space="8" w:color="1F3864"/>
        </w:pBdr>
        <w:shd w:val="clear" w:color="auto" w:fill="F2F2F2"/>
        <w:spacing w:before="80" w:after="160"/>
        <w:ind w:left="120"/>
        <w:jc w:val="both"/>
        <w:rPr>
          <w:i/>
          <w:iCs/>
          <w:sz w:val="20"/>
          <w:szCs w:val="20"/>
        </w:rPr>
      </w:pPr>
      <w:r w:rsidRPr="00144C3D">
        <w:rPr>
          <w:i/>
          <w:iCs/>
          <w:sz w:val="20"/>
          <w:szCs w:val="20"/>
        </w:rPr>
        <w:t>*</w:t>
      </w:r>
      <w:r>
        <w:rPr>
          <w:i/>
          <w:iCs/>
          <w:sz w:val="20"/>
          <w:szCs w:val="20"/>
        </w:rPr>
        <w:t>Produkto ir rezultato stebėsenos rodiklių 2029 metų siektinos reikšmės laikomos pasiektomis, jeigu jos pasiekiamos ne vėliau kaip 2030 m. gruodžio 31 d.</w:t>
      </w:r>
    </w:p>
    <w:p w14:paraId="24197E9B" w14:textId="77777777" w:rsidR="006818B5" w:rsidRDefault="00000000">
      <w:pPr>
        <w:pStyle w:val="Heading2"/>
      </w:pPr>
      <w:bookmarkStart w:id="1" w:name="_Toc235429005"/>
      <w:r>
        <w:t>1.1. Kam skirtos rekomendacijos</w:t>
      </w:r>
      <w:bookmarkEnd w:id="1"/>
    </w:p>
    <w:p w14:paraId="011AC3C0" w14:textId="77777777" w:rsidR="006818B5" w:rsidRDefault="00000000">
      <w:pPr>
        <w:spacing w:after="140" w:line="264" w:lineRule="auto"/>
        <w:jc w:val="both"/>
      </w:pPr>
      <w:r>
        <w:t>Rekomendacijos visų pirma skirtos projektų vykdytojams, t. y. toms institucijoms ir asmenims, kurie tiesiogiai dalyvauja planuojant, vykdant ir atsiskaitant už civilinės saugos švietimo veiklas:</w:t>
      </w:r>
    </w:p>
    <w:p w14:paraId="7AD43C24" w14:textId="77777777" w:rsidR="006818B5" w:rsidRDefault="00000000">
      <w:pPr>
        <w:pStyle w:val="ListParagraph"/>
        <w:numPr>
          <w:ilvl w:val="0"/>
          <w:numId w:val="6"/>
        </w:numPr>
        <w:spacing w:after="90" w:line="264" w:lineRule="auto"/>
        <w:contextualSpacing w:val="0"/>
        <w:jc w:val="both"/>
      </w:pPr>
      <w:r>
        <w:t>BIVP projektų, kuriuose planuojamos civilinės saugos švietimo veiklos, vykdytojams (vietos veiklos grupėms, viešiesiems ir privatiems juridiniams asmenims, savivaldybių administracijoms);</w:t>
      </w:r>
    </w:p>
    <w:p w14:paraId="3B143567" w14:textId="77777777" w:rsidR="006818B5" w:rsidRDefault="00000000">
      <w:pPr>
        <w:pStyle w:val="ListParagraph"/>
        <w:numPr>
          <w:ilvl w:val="0"/>
          <w:numId w:val="1"/>
        </w:numPr>
        <w:spacing w:after="90" w:line="264" w:lineRule="auto"/>
        <w:contextualSpacing w:val="0"/>
        <w:jc w:val="both"/>
      </w:pPr>
      <w:r>
        <w:t>asmenims, atsakingiems už projekto veiklų organizavimą, dalyvių apklausų ir testavimo vykdymą;</w:t>
      </w:r>
    </w:p>
    <w:p w14:paraId="11518D42" w14:textId="77777777" w:rsidR="006818B5" w:rsidRDefault="00000000">
      <w:pPr>
        <w:pStyle w:val="ListParagraph"/>
        <w:numPr>
          <w:ilvl w:val="0"/>
          <w:numId w:val="1"/>
        </w:numPr>
        <w:spacing w:after="90" w:line="264" w:lineRule="auto"/>
        <w:contextualSpacing w:val="0"/>
        <w:jc w:val="both"/>
      </w:pPr>
      <w:r>
        <w:t>asmenims, rengiantiems veiklos ataskaitas ir teikiantiems duomenis apie stebėsenos rodiklių pasiekimą.</w:t>
      </w:r>
    </w:p>
    <w:p w14:paraId="00A4D27B" w14:textId="77777777" w:rsidR="006818B5" w:rsidRDefault="00000000">
      <w:pPr>
        <w:pStyle w:val="Heading2"/>
        <w:jc w:val="both"/>
      </w:pPr>
      <w:bookmarkStart w:id="2" w:name="_Toc235429006"/>
      <w:r>
        <w:t>1.2. Teisinis ir metodinis pagrindas</w:t>
      </w:r>
      <w:bookmarkEnd w:id="2"/>
    </w:p>
    <w:p w14:paraId="4E2B6052" w14:textId="77777777" w:rsidR="006818B5" w:rsidRDefault="00000000">
      <w:pPr>
        <w:spacing w:after="140" w:line="264" w:lineRule="auto"/>
        <w:jc w:val="both"/>
      </w:pPr>
      <w:r>
        <w:t>Rengiant šias rekomendacijas atsižvelgta į šiuos dokumentus:</w:t>
      </w:r>
    </w:p>
    <w:p w14:paraId="711B0700" w14:textId="77777777" w:rsidR="006818B5" w:rsidRDefault="00000000">
      <w:pPr>
        <w:pStyle w:val="ListParagraph"/>
        <w:numPr>
          <w:ilvl w:val="0"/>
          <w:numId w:val="1"/>
        </w:numPr>
        <w:spacing w:after="90" w:line="264" w:lineRule="auto"/>
        <w:contextualSpacing w:val="0"/>
        <w:jc w:val="both"/>
      </w:pPr>
      <w:r>
        <w:t>Aprašo, patvirtinto VRM 2022 m. rugpjūčio 17 d. įsakymu Nr. 1V-536 (su 2026 m. birželio 12 d. įsakymo Nr. 1V-428 pakeitimais</w:t>
      </w:r>
      <w:r w:rsidRPr="00144C3D">
        <w:t>), 7 priedas;</w:t>
      </w:r>
    </w:p>
    <w:p w14:paraId="2CBC7824" w14:textId="77777777" w:rsidR="006818B5" w:rsidRDefault="00000000">
      <w:pPr>
        <w:pStyle w:val="ListParagraph"/>
        <w:numPr>
          <w:ilvl w:val="0"/>
          <w:numId w:val="1"/>
        </w:numPr>
        <w:spacing w:after="90" w:line="264" w:lineRule="auto"/>
        <w:contextualSpacing w:val="0"/>
        <w:jc w:val="both"/>
      </w:pPr>
      <w:r>
        <w:t>Aprašo 6 priedo stebėsenos rodiklio R-01-004-08-04-01-04 aprašymo kortelė;</w:t>
      </w:r>
    </w:p>
    <w:p w14:paraId="5559D6C4" w14:textId="77777777" w:rsidR="006818B5" w:rsidRDefault="00000000">
      <w:pPr>
        <w:pStyle w:val="ListParagraph"/>
        <w:numPr>
          <w:ilvl w:val="0"/>
          <w:numId w:val="1"/>
        </w:numPr>
        <w:spacing w:after="90" w:line="264" w:lineRule="auto"/>
        <w:contextualSpacing w:val="0"/>
        <w:jc w:val="both"/>
      </w:pPr>
      <w:r>
        <w:t>Aprašo 6 priedo stebėsenos rodiklio P-01-004-08-04-01-13 aprašymo kortelė;</w:t>
      </w:r>
    </w:p>
    <w:p w14:paraId="7291074C" w14:textId="77777777" w:rsidR="006818B5" w:rsidRDefault="00000000">
      <w:pPr>
        <w:pStyle w:val="ListParagraph"/>
        <w:numPr>
          <w:ilvl w:val="0"/>
          <w:numId w:val="1"/>
        </w:numPr>
        <w:spacing w:after="90" w:line="264" w:lineRule="auto"/>
        <w:contextualSpacing w:val="0"/>
        <w:jc w:val="both"/>
      </w:pPr>
      <w:r>
        <w:t>2021–2027 m. Europos Sąjungos fondų investicijų programos ir Ekonomikos gaivinimo ir atsparumo didinimo plano „Naujos kartos Lietuva“ administravimo taisyklės;</w:t>
      </w:r>
    </w:p>
    <w:p w14:paraId="40D1F69B" w14:textId="77777777" w:rsidR="006818B5" w:rsidRDefault="00000000">
      <w:pPr>
        <w:pStyle w:val="ListParagraph"/>
        <w:numPr>
          <w:ilvl w:val="0"/>
          <w:numId w:val="1"/>
        </w:numPr>
        <w:spacing w:after="90" w:line="264" w:lineRule="auto"/>
        <w:contextualSpacing w:val="0"/>
        <w:jc w:val="both"/>
      </w:pPr>
      <w:r>
        <w:t>Projektų administravimo ir finansavimo taisyklės.</w:t>
      </w:r>
    </w:p>
    <w:p w14:paraId="51EE65DC" w14:textId="77777777" w:rsidR="006818B5" w:rsidRDefault="00000000">
      <w:pPr>
        <w:pStyle w:val="Heading1"/>
        <w:jc w:val="both"/>
      </w:pPr>
      <w:bookmarkStart w:id="3" w:name="_Toc235429007"/>
      <w:r>
        <w:lastRenderedPageBreak/>
        <w:t>2. Vertinimo esmė – ką ir kada reikia įvertinti</w:t>
      </w:r>
      <w:bookmarkEnd w:id="3"/>
    </w:p>
    <w:p w14:paraId="41C682B0" w14:textId="77777777" w:rsidR="006818B5" w:rsidRDefault="00000000">
      <w:pPr>
        <w:pStyle w:val="Heading2"/>
        <w:jc w:val="both"/>
      </w:pPr>
      <w:bookmarkStart w:id="4" w:name="_Toc235429008"/>
      <w:r>
        <w:t>2.1. Vertinimo laikotarpis</w:t>
      </w:r>
      <w:bookmarkEnd w:id="4"/>
    </w:p>
    <w:p w14:paraId="779064A3" w14:textId="77777777" w:rsidR="006818B5" w:rsidRDefault="00000000">
      <w:pPr>
        <w:spacing w:after="140" w:line="264" w:lineRule="auto"/>
        <w:jc w:val="both"/>
      </w:pPr>
      <w:r>
        <w:t>Pagal Aprašo 7 priedą, kiekvieno civilinės saugos švietimo veiklose dalyvaujančio asmens žinios ir (ar) įgūdžiai turi būti įvertinti dviem aiškiai atskirtais momentais:</w:t>
      </w:r>
    </w:p>
    <w:p w14:paraId="7971C516" w14:textId="77777777" w:rsidR="006818B5" w:rsidRDefault="00000000">
      <w:pPr>
        <w:pStyle w:val="ListParagraph"/>
        <w:numPr>
          <w:ilvl w:val="0"/>
          <w:numId w:val="7"/>
        </w:numPr>
        <w:spacing w:after="90" w:line="264" w:lineRule="auto"/>
        <w:contextualSpacing w:val="0"/>
        <w:jc w:val="both"/>
      </w:pPr>
      <w:r>
        <w:t>prieš dalyviui pradedant dalyvauti projekto veiklose (pradinis vertinimas);</w:t>
      </w:r>
    </w:p>
    <w:p w14:paraId="1CA2D135" w14:textId="77777777" w:rsidR="006818B5" w:rsidRDefault="00000000">
      <w:pPr>
        <w:pStyle w:val="ListParagraph"/>
        <w:numPr>
          <w:ilvl w:val="0"/>
          <w:numId w:val="2"/>
        </w:numPr>
        <w:spacing w:after="90" w:line="264" w:lineRule="auto"/>
        <w:contextualSpacing w:val="0"/>
        <w:jc w:val="both"/>
      </w:pPr>
      <w:r>
        <w:t>dalyviui baigus dalyvauti projekto veiklose (galutinis vertinimas).</w:t>
      </w:r>
    </w:p>
    <w:p w14:paraId="2D40AD9B" w14:textId="77777777" w:rsidR="006818B5" w:rsidRDefault="00000000">
      <w:pPr>
        <w:pBdr>
          <w:left w:val="single" w:sz="18" w:space="8" w:color="1F3864"/>
        </w:pBdr>
        <w:shd w:val="clear" w:color="auto" w:fill="F2F2F2"/>
        <w:spacing w:before="80" w:after="160"/>
        <w:ind w:left="120"/>
        <w:jc w:val="both"/>
      </w:pPr>
      <w:r>
        <w:rPr>
          <w:i/>
          <w:iCs/>
          <w:color w:val="595959"/>
          <w:sz w:val="20"/>
          <w:szCs w:val="20"/>
        </w:rPr>
        <w:t>Rodiklis skaičiuojamas tik tiems dalyviams, kuriems atliktas ir pradinis, ir galutinis vertinimas. Jei dalyvis dalyvavo tik dalyje veiklų arba jam atliktas tik vienas vertinimas, jo rezultatas į rodiklio skaičiavimą neįtraukiamas – todėl svarbu užtikrinti, kad abu testai būtų atlikti be išimčių.</w:t>
      </w:r>
    </w:p>
    <w:p w14:paraId="2550D480" w14:textId="77777777" w:rsidR="006818B5" w:rsidRPr="00144C3D" w:rsidRDefault="00000000" w:rsidP="00144C3D">
      <w:pPr>
        <w:pStyle w:val="Heading2"/>
      </w:pPr>
      <w:bookmarkStart w:id="5" w:name="_Toc235429009"/>
      <w:r w:rsidRPr="00144C3D">
        <w:t>2.2. Siektini stebėsenos rodikliai</w:t>
      </w:r>
      <w:bookmarkEnd w:id="5"/>
    </w:p>
    <w:p w14:paraId="28F4E707" w14:textId="77777777" w:rsidR="006818B5" w:rsidRDefault="00000000">
      <w:pPr>
        <w:spacing w:after="140" w:line="264" w:lineRule="auto"/>
        <w:jc w:val="both"/>
      </w:pPr>
      <w:r>
        <w:t>Testavimo duomenys skirti įvertinti stebėsenos rodiklį:</w:t>
      </w:r>
    </w:p>
    <w:tbl>
      <w:tblPr>
        <w:tblW w:w="9493" w:type="dxa"/>
        <w:tblLayout w:type="fixed"/>
        <w:tblCellMar>
          <w:top w:w="80" w:type="dxa"/>
          <w:left w:w="100" w:type="dxa"/>
          <w:bottom w:w="80" w:type="dxa"/>
          <w:right w:w="100" w:type="dxa"/>
        </w:tblCellMar>
        <w:tblLook w:val="04A0" w:firstRow="1" w:lastRow="0" w:firstColumn="1" w:lastColumn="0" w:noHBand="0" w:noVBand="1"/>
      </w:tblPr>
      <w:tblGrid>
        <w:gridCol w:w="2200"/>
        <w:gridCol w:w="3324"/>
        <w:gridCol w:w="2268"/>
        <w:gridCol w:w="1701"/>
      </w:tblGrid>
      <w:tr w:rsidR="006818B5" w14:paraId="607C1E23" w14:textId="77777777">
        <w:trPr>
          <w:tblHeader/>
        </w:trPr>
        <w:tc>
          <w:tcPr>
            <w:tcW w:w="2199" w:type="dxa"/>
            <w:tcBorders>
              <w:top w:val="single" w:sz="4" w:space="0" w:color="000000"/>
              <w:left w:val="single" w:sz="4" w:space="0" w:color="000000"/>
              <w:bottom w:val="single" w:sz="4" w:space="0" w:color="000000"/>
              <w:right w:val="single" w:sz="4" w:space="0" w:color="000000"/>
            </w:tcBorders>
            <w:shd w:val="clear" w:color="auto" w:fill="1F3864"/>
          </w:tcPr>
          <w:p w14:paraId="564FB7AE" w14:textId="77777777" w:rsidR="006818B5" w:rsidRDefault="00000000">
            <w:pPr>
              <w:jc w:val="both"/>
            </w:pPr>
            <w:r>
              <w:rPr>
                <w:b/>
                <w:bCs/>
                <w:color w:val="FFFFFF"/>
                <w:sz w:val="20"/>
                <w:szCs w:val="20"/>
              </w:rPr>
              <w:t>Rodiklio kodas</w:t>
            </w:r>
          </w:p>
        </w:tc>
        <w:tc>
          <w:tcPr>
            <w:tcW w:w="3324" w:type="dxa"/>
            <w:tcBorders>
              <w:top w:val="single" w:sz="4" w:space="0" w:color="000000"/>
              <w:left w:val="single" w:sz="4" w:space="0" w:color="000000"/>
              <w:bottom w:val="single" w:sz="4" w:space="0" w:color="000000"/>
              <w:right w:val="single" w:sz="4" w:space="0" w:color="000000"/>
            </w:tcBorders>
            <w:shd w:val="clear" w:color="auto" w:fill="1F3864"/>
          </w:tcPr>
          <w:p w14:paraId="4B467AA2" w14:textId="77777777" w:rsidR="006818B5" w:rsidRDefault="00000000">
            <w:pPr>
              <w:jc w:val="both"/>
            </w:pPr>
            <w:r>
              <w:rPr>
                <w:b/>
                <w:bCs/>
                <w:color w:val="FFFFFF"/>
                <w:sz w:val="20"/>
                <w:szCs w:val="20"/>
              </w:rPr>
              <w:t>Pavadinimas</w:t>
            </w:r>
          </w:p>
        </w:tc>
        <w:tc>
          <w:tcPr>
            <w:tcW w:w="2268" w:type="dxa"/>
            <w:tcBorders>
              <w:top w:val="single" w:sz="4" w:space="0" w:color="000000"/>
              <w:left w:val="single" w:sz="4" w:space="0" w:color="000000"/>
              <w:bottom w:val="single" w:sz="4" w:space="0" w:color="000000"/>
              <w:right w:val="single" w:sz="4" w:space="0" w:color="000000"/>
            </w:tcBorders>
            <w:shd w:val="clear" w:color="auto" w:fill="1F3864"/>
          </w:tcPr>
          <w:p w14:paraId="69DB6C52" w14:textId="77777777" w:rsidR="006818B5" w:rsidRDefault="00000000">
            <w:pPr>
              <w:jc w:val="both"/>
            </w:pPr>
            <w:r>
              <w:rPr>
                <w:b/>
                <w:bCs/>
                <w:color w:val="FFFFFF"/>
                <w:sz w:val="20"/>
                <w:szCs w:val="20"/>
              </w:rPr>
              <w:t>Ką matuoja</w:t>
            </w:r>
          </w:p>
        </w:tc>
        <w:tc>
          <w:tcPr>
            <w:tcW w:w="1701" w:type="dxa"/>
            <w:tcBorders>
              <w:top w:val="single" w:sz="4" w:space="0" w:color="000000"/>
              <w:left w:val="single" w:sz="4" w:space="0" w:color="000000"/>
              <w:bottom w:val="single" w:sz="4" w:space="0" w:color="000000"/>
              <w:right w:val="single" w:sz="4" w:space="0" w:color="000000"/>
            </w:tcBorders>
            <w:shd w:val="clear" w:color="auto" w:fill="1F3864"/>
          </w:tcPr>
          <w:p w14:paraId="21D76CF8" w14:textId="77777777" w:rsidR="006818B5" w:rsidRDefault="00000000">
            <w:pPr>
              <w:jc w:val="both"/>
            </w:pPr>
            <w:r>
              <w:rPr>
                <w:b/>
                <w:bCs/>
                <w:color w:val="FFFFFF"/>
                <w:sz w:val="20"/>
                <w:szCs w:val="20"/>
              </w:rPr>
              <w:t>Duomenų šaltinis</w:t>
            </w:r>
          </w:p>
        </w:tc>
      </w:tr>
      <w:tr w:rsidR="006818B5" w14:paraId="06A3AA56" w14:textId="77777777">
        <w:tc>
          <w:tcPr>
            <w:tcW w:w="2199" w:type="dxa"/>
            <w:tcBorders>
              <w:top w:val="single" w:sz="4" w:space="0" w:color="000000"/>
              <w:left w:val="single" w:sz="4" w:space="0" w:color="000000"/>
              <w:bottom w:val="single" w:sz="4" w:space="0" w:color="000000"/>
              <w:right w:val="single" w:sz="4" w:space="0" w:color="000000"/>
            </w:tcBorders>
          </w:tcPr>
          <w:p w14:paraId="149D1FD3" w14:textId="77777777" w:rsidR="006818B5" w:rsidRDefault="00000000">
            <w:pPr>
              <w:jc w:val="both"/>
            </w:pPr>
            <w:r>
              <w:rPr>
                <w:sz w:val="20"/>
                <w:szCs w:val="20"/>
              </w:rPr>
              <w:t>R-01-004-08-04-01-04</w:t>
            </w:r>
          </w:p>
        </w:tc>
        <w:tc>
          <w:tcPr>
            <w:tcW w:w="3324" w:type="dxa"/>
            <w:tcBorders>
              <w:top w:val="single" w:sz="4" w:space="0" w:color="000000"/>
              <w:left w:val="single" w:sz="4" w:space="0" w:color="000000"/>
              <w:bottom w:val="single" w:sz="4" w:space="0" w:color="000000"/>
              <w:right w:val="single" w:sz="4" w:space="0" w:color="000000"/>
            </w:tcBorders>
          </w:tcPr>
          <w:p w14:paraId="6ADAA5D6" w14:textId="77777777" w:rsidR="006818B5" w:rsidRDefault="00000000">
            <w:pPr>
              <w:jc w:val="both"/>
            </w:pPr>
            <w:r>
              <w:rPr>
                <w:sz w:val="20"/>
                <w:szCs w:val="20"/>
              </w:rPr>
              <w:t>Bendruomenės inicijuotos vietos plėtros projektų veiklų dalyvių, kurie, dalyvaudami gyventojų švietimo civilinės saugos klausimais veiklose, įgijo įgūdžių, dalis</w:t>
            </w:r>
          </w:p>
        </w:tc>
        <w:tc>
          <w:tcPr>
            <w:tcW w:w="2268" w:type="dxa"/>
            <w:tcBorders>
              <w:top w:val="single" w:sz="4" w:space="0" w:color="000000"/>
              <w:left w:val="single" w:sz="4" w:space="0" w:color="000000"/>
              <w:bottom w:val="single" w:sz="4" w:space="0" w:color="000000"/>
              <w:right w:val="single" w:sz="4" w:space="0" w:color="000000"/>
            </w:tcBorders>
          </w:tcPr>
          <w:p w14:paraId="6118E7D2" w14:textId="77777777" w:rsidR="006818B5" w:rsidRDefault="00000000">
            <w:pPr>
              <w:jc w:val="both"/>
            </w:pPr>
            <w:r>
              <w:rPr>
                <w:sz w:val="20"/>
                <w:szCs w:val="20"/>
              </w:rPr>
              <w:t>Kokybę – kokios dalies projekto dalyvių pagerėjo žinios/įgūdžiai (siekis ≥ 95 proc.)</w:t>
            </w:r>
          </w:p>
        </w:tc>
        <w:tc>
          <w:tcPr>
            <w:tcW w:w="1701" w:type="dxa"/>
            <w:tcBorders>
              <w:top w:val="single" w:sz="4" w:space="0" w:color="000000"/>
              <w:left w:val="single" w:sz="4" w:space="0" w:color="000000"/>
              <w:bottom w:val="single" w:sz="4" w:space="0" w:color="000000"/>
              <w:right w:val="single" w:sz="4" w:space="0" w:color="000000"/>
            </w:tcBorders>
          </w:tcPr>
          <w:p w14:paraId="13823E7B" w14:textId="77777777" w:rsidR="006818B5" w:rsidRDefault="00000000">
            <w:pPr>
              <w:jc w:val="both"/>
            </w:pPr>
            <w:r>
              <w:rPr>
                <w:sz w:val="20"/>
                <w:szCs w:val="20"/>
              </w:rPr>
              <w:t>Testo rezultatai prieš ir po veiklų</w:t>
            </w:r>
          </w:p>
        </w:tc>
      </w:tr>
    </w:tbl>
    <w:p w14:paraId="4FCA5AD1" w14:textId="77777777" w:rsidR="006818B5" w:rsidRDefault="00000000">
      <w:pPr>
        <w:pStyle w:val="Heading1"/>
        <w:jc w:val="both"/>
      </w:pPr>
      <w:bookmarkStart w:id="6" w:name="_Toc235429010"/>
      <w:r>
        <w:t>3. Vertinimo metodika: žinių/įgūdžių pokyčio skaičiavimas</w:t>
      </w:r>
      <w:bookmarkEnd w:id="6"/>
    </w:p>
    <w:p w14:paraId="210AD8E6" w14:textId="77777777" w:rsidR="006818B5" w:rsidRPr="00144C3D" w:rsidRDefault="00000000" w:rsidP="00144C3D">
      <w:pPr>
        <w:pStyle w:val="Heading2"/>
        <w:rPr>
          <w:color w:val="auto"/>
        </w:rPr>
      </w:pPr>
      <w:bookmarkStart w:id="7" w:name="_Toc235429011"/>
      <w:r>
        <w:t>3.1. Rodiklio skaičiavimo formulė</w:t>
      </w:r>
      <w:bookmarkEnd w:id="7"/>
    </w:p>
    <w:p w14:paraId="382FA248" w14:textId="77777777" w:rsidR="006818B5" w:rsidRPr="00144C3D" w:rsidRDefault="00000000">
      <w:pPr>
        <w:spacing w:after="140" w:line="264" w:lineRule="auto"/>
        <w:jc w:val="both"/>
      </w:pPr>
      <w:r w:rsidRPr="00144C3D">
        <w:t>Aprašo 6 priedo stebėsenos rodiklio R-01-004-08-04-01-04 aprašymo kortelėje nustatyta tokia rodiklio skaičiavimo formulė:</w:t>
      </w:r>
    </w:p>
    <w:p w14:paraId="16717CE0" w14:textId="77777777" w:rsidR="006818B5" w:rsidRPr="00144C3D" w:rsidRDefault="00000000">
      <w:pPr>
        <w:shd w:val="clear" w:color="auto" w:fill="EEF2FA"/>
        <w:spacing w:before="100" w:after="100"/>
        <w:jc w:val="both"/>
      </w:pPr>
      <w:r w:rsidRPr="00144C3D">
        <w:rPr>
          <w:b/>
          <w:bCs/>
          <w:sz w:val="24"/>
          <w:szCs w:val="24"/>
        </w:rPr>
        <w:t>Įgūdžių pokytis (%) = (P / B) × 100</w:t>
      </w:r>
    </w:p>
    <w:p w14:paraId="451688BB" w14:textId="77777777" w:rsidR="006818B5" w:rsidRPr="00144C3D" w:rsidRDefault="00000000">
      <w:pPr>
        <w:spacing w:after="140" w:line="264" w:lineRule="auto"/>
        <w:jc w:val="both"/>
      </w:pPr>
      <w:r w:rsidRPr="00144C3D">
        <w:t>Formulės kintamieji apibrėžiami taip:</w:t>
      </w:r>
    </w:p>
    <w:p w14:paraId="0C88368B" w14:textId="77777777" w:rsidR="006818B5" w:rsidRPr="00144C3D" w:rsidRDefault="00000000">
      <w:pPr>
        <w:pStyle w:val="ListParagraph"/>
        <w:numPr>
          <w:ilvl w:val="0"/>
          <w:numId w:val="1"/>
        </w:numPr>
        <w:spacing w:after="90" w:line="264" w:lineRule="auto"/>
        <w:contextualSpacing w:val="0"/>
        <w:jc w:val="both"/>
      </w:pPr>
      <w:r w:rsidRPr="00144C3D">
        <w:t>B – visų dalyvių žinių ir (ar) įgūdžių civilinės saugos klausimais pradinio įvertinimo (balais), gauto prieš dalyvavimą veiklose, vidurkis;</w:t>
      </w:r>
    </w:p>
    <w:p w14:paraId="60A12658" w14:textId="77777777" w:rsidR="006818B5" w:rsidRPr="00144C3D" w:rsidRDefault="00000000">
      <w:pPr>
        <w:pStyle w:val="ListParagraph"/>
        <w:numPr>
          <w:ilvl w:val="0"/>
          <w:numId w:val="1"/>
        </w:numPr>
        <w:spacing w:after="90" w:line="264" w:lineRule="auto"/>
        <w:contextualSpacing w:val="0"/>
        <w:jc w:val="both"/>
      </w:pPr>
      <w:r w:rsidRPr="00144C3D">
        <w:t xml:space="preserve">P – visų dalyvių žinių ir (ar) įgūdžių civilinės saugos klausimais </w:t>
      </w:r>
      <w:r w:rsidRPr="00144C3D">
        <w:rPr>
          <w:szCs w:val="24"/>
        </w:rPr>
        <w:t xml:space="preserve">galutinio ir pradinio </w:t>
      </w:r>
      <w:r w:rsidRPr="00144C3D">
        <w:t>įvertinimo rezultato vidurkio skirtumas (balais).</w:t>
      </w:r>
    </w:p>
    <w:p w14:paraId="2148F27C" w14:textId="77777777" w:rsidR="006818B5" w:rsidRDefault="00000000">
      <w:pPr>
        <w:spacing w:after="140" w:line="264" w:lineRule="auto"/>
        <w:jc w:val="both"/>
      </w:pPr>
      <w:r w:rsidRPr="00144C3D">
        <w:t>Jeigu dalyvis prieš dalyvavimą veiklose surinko maksimalų galimą balų skaičių, laikoma</w:t>
      </w:r>
      <w:r>
        <w:t xml:space="preserve">, kad jo žinių ir (ar) įgūdžių lygis išliko aukščiausiame lygyje (t. y. pokytis šiuo atveju nelaikomas neigiamu ar neįskaitomu), </w:t>
      </w:r>
      <w:r>
        <w:rPr>
          <w:szCs w:val="24"/>
        </w:rPr>
        <w:t>todėl šio dalyvio duomenys į rodiklio skaičiavimą neįtraukiami.</w:t>
      </w:r>
    </w:p>
    <w:p w14:paraId="068B43D6" w14:textId="77777777" w:rsidR="006818B5" w:rsidRDefault="00000000">
      <w:pPr>
        <w:pBdr>
          <w:left w:val="single" w:sz="18" w:space="8" w:color="1F3864"/>
        </w:pBdr>
        <w:shd w:val="clear" w:color="auto" w:fill="F2F2F2"/>
        <w:spacing w:before="80" w:after="160"/>
        <w:ind w:left="120"/>
        <w:jc w:val="both"/>
      </w:pPr>
      <w:r>
        <w:rPr>
          <w:i/>
          <w:iCs/>
          <w:color w:val="595959"/>
          <w:sz w:val="20"/>
          <w:szCs w:val="20"/>
        </w:rPr>
        <w:t>Praktinė rekomendacija: rezultatus patogiausia saugoti lentelėje (pvz., „Excel“ dokumente), kur kiekvienam dalyviui priskiriama eilutė su pradiniu ir galutiniu balu. Tai leidžia automatiškai apskaičiuoti tiek individualius, tiek bendrus rodiklius ir sumažina klaidų riziką rengiant ataskaitą. Prie šių rekomendacijų pridedama tokia parengta skaičiuoklė.</w:t>
      </w:r>
    </w:p>
    <w:p w14:paraId="27B6127B" w14:textId="77777777" w:rsidR="006818B5" w:rsidRDefault="00000000" w:rsidP="00144C3D">
      <w:pPr>
        <w:pStyle w:val="Heading2"/>
      </w:pPr>
      <w:bookmarkStart w:id="8" w:name="_Toc235429013"/>
      <w:r>
        <w:t>3.2. Rodiklio pasiekimo minimali riba</w:t>
      </w:r>
      <w:bookmarkEnd w:id="8"/>
    </w:p>
    <w:p w14:paraId="0EEFB2D5" w14:textId="77777777" w:rsidR="006818B5" w:rsidRDefault="00000000">
      <w:pPr>
        <w:spacing w:after="140" w:line="264" w:lineRule="auto"/>
        <w:jc w:val="both"/>
      </w:pPr>
      <w:r>
        <w:t>Aprašo 7 priedas  nustato, kad stebėsenos rodiklis laikomas pasiektu, kai bendras dalyvių žinių ir (ar) įgūdžių pokytis siekia ne mažiau kaip 95 proc. Projekto vykdytojas turėtų šį rodiklį stebėti ne tik projekto pabaigoje, bet ir periodiškai (pvz., po kiekvienos didesnės veiklos ar veiklų ciklo), kad laiku pastebėtų, jei rezultatai atsilieka nuo siektinos reikšmės, ir galėtų koreguoti mokymo turinį ar metodus.</w:t>
      </w:r>
    </w:p>
    <w:p w14:paraId="1CAC470F" w14:textId="77777777" w:rsidR="006818B5" w:rsidRDefault="00000000">
      <w:pPr>
        <w:pStyle w:val="Heading1"/>
        <w:jc w:val="both"/>
      </w:pPr>
      <w:bookmarkStart w:id="9" w:name="_Toc235429014"/>
      <w:r>
        <w:lastRenderedPageBreak/>
        <w:t>4. Testo rengimo rekomendacijos</w:t>
      </w:r>
      <w:bookmarkEnd w:id="9"/>
    </w:p>
    <w:p w14:paraId="182ECE56" w14:textId="77777777" w:rsidR="006818B5" w:rsidRDefault="00000000">
      <w:pPr>
        <w:pStyle w:val="Heading2"/>
        <w:jc w:val="both"/>
      </w:pPr>
      <w:bookmarkStart w:id="10" w:name="_Toc235429015"/>
      <w:r>
        <w:t>4.1. Bendrieji principai</w:t>
      </w:r>
      <w:bookmarkEnd w:id="10"/>
    </w:p>
    <w:p w14:paraId="56AE8272" w14:textId="77777777" w:rsidR="006818B5" w:rsidRDefault="00000000">
      <w:pPr>
        <w:spacing w:after="140" w:line="264" w:lineRule="auto"/>
        <w:jc w:val="both"/>
      </w:pPr>
      <w:r>
        <w:t>Kad testo rezultatai būtų patikimi ir tinkami rodikliui skaičiuoti, rengiant testą reikėtų laikytis kelių pagrindinių principų:</w:t>
      </w:r>
    </w:p>
    <w:p w14:paraId="7FCF3B02" w14:textId="77777777" w:rsidR="006818B5" w:rsidRDefault="00000000">
      <w:pPr>
        <w:pStyle w:val="ListParagraph"/>
        <w:numPr>
          <w:ilvl w:val="0"/>
          <w:numId w:val="1"/>
        </w:numPr>
        <w:spacing w:after="90" w:line="264" w:lineRule="auto"/>
        <w:contextualSpacing w:val="0"/>
        <w:jc w:val="both"/>
      </w:pPr>
      <w:r>
        <w:t>Naudokite tą patį (arba lygiavertį pagal sudėtingumą) testą prieš ir po veiklų – tik taip užtikrinamas korektiškas rezultatų palyginimas.</w:t>
      </w:r>
    </w:p>
    <w:p w14:paraId="4C17B5A2" w14:textId="77777777" w:rsidR="006818B5" w:rsidRDefault="00000000">
      <w:pPr>
        <w:pStyle w:val="ListParagraph"/>
        <w:numPr>
          <w:ilvl w:val="0"/>
          <w:numId w:val="1"/>
        </w:numPr>
        <w:spacing w:after="90" w:line="264" w:lineRule="auto"/>
        <w:contextualSpacing w:val="0"/>
        <w:jc w:val="both"/>
      </w:pPr>
      <w:r>
        <w:t>Testo turinys turi atitikti veiklos programos temas – nevertinkite to, kas nebuvo dėstyta.</w:t>
      </w:r>
    </w:p>
    <w:p w14:paraId="449FF612" w14:textId="77777777" w:rsidR="006818B5" w:rsidRDefault="00000000">
      <w:pPr>
        <w:pStyle w:val="ListParagraph"/>
        <w:numPr>
          <w:ilvl w:val="0"/>
          <w:numId w:val="1"/>
        </w:numPr>
        <w:spacing w:after="90" w:line="264" w:lineRule="auto"/>
        <w:contextualSpacing w:val="0"/>
        <w:jc w:val="both"/>
      </w:pPr>
      <w:r>
        <w:t>Testas turi būti pritaikytas tikslinei grupei (plačiajai visuomenei) – be specializuotos terminijos, aiškiai suformuluotas, ne per ilgas (rekomenduojama 8–15 klausimų, pildymo trukmė iki 10–15 min.).</w:t>
      </w:r>
    </w:p>
    <w:p w14:paraId="67972335" w14:textId="77777777" w:rsidR="006818B5" w:rsidRDefault="00000000">
      <w:pPr>
        <w:pStyle w:val="ListParagraph"/>
        <w:numPr>
          <w:ilvl w:val="0"/>
          <w:numId w:val="1"/>
        </w:numPr>
        <w:spacing w:after="90" w:line="264" w:lineRule="auto"/>
        <w:contextualSpacing w:val="0"/>
        <w:jc w:val="both"/>
      </w:pPr>
      <w:r>
        <w:t>Kiekviename teste nurodykite dalyvio vardą ir pavardę, kad būtų galima susieti to paties asmens pradinio ir galutinio vertinimo rezultatus. Dalyvių asmens duomenys tvarkomi ir saugomi laikantis Bendrojo duomenų apsaugos reglamento ir projekto sutartyje nustatytų reikalavimų.</w:t>
      </w:r>
    </w:p>
    <w:p w14:paraId="2C2E9B92" w14:textId="77777777" w:rsidR="006818B5" w:rsidRPr="00144C3D" w:rsidRDefault="00000000">
      <w:pPr>
        <w:pStyle w:val="ListParagraph"/>
        <w:numPr>
          <w:ilvl w:val="0"/>
          <w:numId w:val="1"/>
        </w:numPr>
        <w:spacing w:after="90" w:line="264" w:lineRule="auto"/>
        <w:contextualSpacing w:val="0"/>
        <w:jc w:val="both"/>
      </w:pPr>
      <w:r w:rsidRPr="00144C3D">
        <w:t>Užtikrinkite, kad testas būtų pritaikytas ir negalią turintiems dalyviams (pvz., didesnis šriftas, skaitmeninė ar garsinė versija, pagalba pildant), laikantis lygių galimybių principo, nes projekto veiklose gali dalyvauti ir asmenys, turintys negalią.</w:t>
      </w:r>
    </w:p>
    <w:p w14:paraId="1312F86C" w14:textId="77777777" w:rsidR="006818B5" w:rsidRDefault="00000000">
      <w:pPr>
        <w:pStyle w:val="Heading2"/>
        <w:jc w:val="both"/>
      </w:pPr>
      <w:bookmarkStart w:id="11" w:name="_Toc235429016"/>
      <w:r>
        <w:t>4.2. Rekomenduojama testo struktūra</w:t>
      </w:r>
      <w:bookmarkEnd w:id="11"/>
    </w:p>
    <w:p w14:paraId="59D10C8B" w14:textId="77777777" w:rsidR="006818B5" w:rsidRDefault="00000000">
      <w:pPr>
        <w:spacing w:after="140" w:line="264" w:lineRule="auto"/>
        <w:jc w:val="both"/>
      </w:pPr>
      <w:r>
        <w:t>Nuosekliai sudarytas testas paprastai apima keturis blokus, einančius vienas po kito nurodyta tvarka:</w:t>
      </w:r>
    </w:p>
    <w:p w14:paraId="43DB0B02" w14:textId="77777777" w:rsidR="006818B5" w:rsidRDefault="00000000">
      <w:pPr>
        <w:pStyle w:val="ListParagraph"/>
        <w:numPr>
          <w:ilvl w:val="0"/>
          <w:numId w:val="3"/>
        </w:numPr>
        <w:spacing w:after="90" w:line="264" w:lineRule="auto"/>
        <w:jc w:val="both"/>
      </w:pPr>
      <w:r>
        <w:t>Įžanginė dalis – trumpas paaiškinimas dalyviui, kad testo tikslas yra įvertinti mokymo veiklos naudingumą ir jo asmeninę pažangą; nurodoma, kad testas nėra anoniminis ir jame reikia nurodyti vardą bei pavardę.</w:t>
      </w:r>
    </w:p>
    <w:p w14:paraId="454235C0" w14:textId="77777777" w:rsidR="006818B5" w:rsidRDefault="00000000">
      <w:pPr>
        <w:pStyle w:val="ListParagraph"/>
        <w:numPr>
          <w:ilvl w:val="0"/>
          <w:numId w:val="3"/>
        </w:numPr>
        <w:spacing w:after="90" w:line="264" w:lineRule="auto"/>
        <w:contextualSpacing w:val="0"/>
        <w:jc w:val="both"/>
      </w:pPr>
      <w:r>
        <w:t>Identifikacinis blokas – dalyvio vardas ir pavardė, reikalingi susieti pradinio ir galutinio testo rezultatus; papildomai galima nurodyti amžiaus grupę.</w:t>
      </w:r>
    </w:p>
    <w:p w14:paraId="1814E16A" w14:textId="77777777" w:rsidR="006818B5" w:rsidRDefault="00000000">
      <w:pPr>
        <w:pStyle w:val="ListParagraph"/>
        <w:numPr>
          <w:ilvl w:val="0"/>
          <w:numId w:val="3"/>
        </w:numPr>
        <w:spacing w:after="90" w:line="264" w:lineRule="auto"/>
        <w:contextualSpacing w:val="0"/>
        <w:jc w:val="both"/>
      </w:pPr>
      <w:r>
        <w:t>Žinių/įgūdžių klausimų blokas – klausimai, tiesiogiai susiję su veiklos programos temomis.</w:t>
      </w:r>
    </w:p>
    <w:p w14:paraId="7418711A" w14:textId="77777777" w:rsidR="006818B5" w:rsidRDefault="00000000">
      <w:pPr>
        <w:pStyle w:val="ListParagraph"/>
        <w:numPr>
          <w:ilvl w:val="0"/>
          <w:numId w:val="3"/>
        </w:numPr>
        <w:spacing w:after="90" w:line="264" w:lineRule="auto"/>
        <w:contextualSpacing w:val="0"/>
        <w:jc w:val="both"/>
      </w:pPr>
      <w:r>
        <w:t>Balų sistema – kiekvienam klausimui priskiriamas fiksuotas balas (rekomenduojama vienoda skalė, pvz., 1 taškas už teisingą atsakymą), kad rezultatas būtų lengvai susumuojamas.</w:t>
      </w:r>
    </w:p>
    <w:p w14:paraId="68B7EB3A" w14:textId="77777777" w:rsidR="006818B5" w:rsidRDefault="00000000">
      <w:pPr>
        <w:pStyle w:val="Heading2"/>
        <w:jc w:val="both"/>
      </w:pPr>
      <w:bookmarkStart w:id="12" w:name="_Toc235429017"/>
      <w:r>
        <w:t>4.3. Klausimų tipai</w:t>
      </w:r>
      <w:bookmarkEnd w:id="12"/>
    </w:p>
    <w:p w14:paraId="72C808C7" w14:textId="77777777" w:rsidR="006818B5" w:rsidRDefault="00000000">
      <w:pPr>
        <w:spacing w:after="140" w:line="264" w:lineRule="auto"/>
        <w:jc w:val="both"/>
      </w:pPr>
      <w:r>
        <w:t>Testą galima sudaryti iš kelių skirtingų klausimų tipų – jų derinys priklauso nuo to, ką konkrečiu klausimu norima patikrinti:</w:t>
      </w:r>
    </w:p>
    <w:tbl>
      <w:tblPr>
        <w:tblW w:w="9493" w:type="dxa"/>
        <w:tblLayout w:type="fixed"/>
        <w:tblCellMar>
          <w:top w:w="80" w:type="dxa"/>
          <w:left w:w="100" w:type="dxa"/>
          <w:bottom w:w="80" w:type="dxa"/>
          <w:right w:w="100" w:type="dxa"/>
        </w:tblCellMar>
        <w:tblLook w:val="04A0" w:firstRow="1" w:lastRow="0" w:firstColumn="1" w:lastColumn="0" w:noHBand="0" w:noVBand="1"/>
      </w:tblPr>
      <w:tblGrid>
        <w:gridCol w:w="2500"/>
        <w:gridCol w:w="2740"/>
        <w:gridCol w:w="4253"/>
      </w:tblGrid>
      <w:tr w:rsidR="006818B5" w14:paraId="55B15499" w14:textId="77777777">
        <w:trPr>
          <w:tblHeader/>
        </w:trPr>
        <w:tc>
          <w:tcPr>
            <w:tcW w:w="2500" w:type="dxa"/>
            <w:tcBorders>
              <w:top w:val="single" w:sz="4" w:space="0" w:color="000000"/>
              <w:left w:val="single" w:sz="4" w:space="0" w:color="000000"/>
              <w:bottom w:val="single" w:sz="4" w:space="0" w:color="000000"/>
              <w:right w:val="single" w:sz="4" w:space="0" w:color="000000"/>
            </w:tcBorders>
            <w:shd w:val="clear" w:color="auto" w:fill="1F3864"/>
          </w:tcPr>
          <w:p w14:paraId="7F05AC08" w14:textId="77777777" w:rsidR="006818B5" w:rsidRDefault="00000000">
            <w:pPr>
              <w:jc w:val="both"/>
            </w:pPr>
            <w:r>
              <w:rPr>
                <w:b/>
                <w:bCs/>
                <w:color w:val="FFFFFF"/>
                <w:sz w:val="20"/>
                <w:szCs w:val="20"/>
              </w:rPr>
              <w:t>Tipas</w:t>
            </w:r>
          </w:p>
        </w:tc>
        <w:tc>
          <w:tcPr>
            <w:tcW w:w="2740" w:type="dxa"/>
            <w:tcBorders>
              <w:top w:val="single" w:sz="4" w:space="0" w:color="000000"/>
              <w:left w:val="single" w:sz="4" w:space="0" w:color="000000"/>
              <w:bottom w:val="single" w:sz="4" w:space="0" w:color="000000"/>
              <w:right w:val="single" w:sz="4" w:space="0" w:color="000000"/>
            </w:tcBorders>
            <w:shd w:val="clear" w:color="auto" w:fill="1F3864"/>
          </w:tcPr>
          <w:p w14:paraId="17A5A4EC" w14:textId="77777777" w:rsidR="006818B5" w:rsidRDefault="00000000">
            <w:pPr>
              <w:jc w:val="both"/>
            </w:pPr>
            <w:r>
              <w:rPr>
                <w:b/>
                <w:bCs/>
                <w:color w:val="FFFFFF"/>
                <w:sz w:val="20"/>
                <w:szCs w:val="20"/>
              </w:rPr>
              <w:t>Kada tinka</w:t>
            </w:r>
          </w:p>
        </w:tc>
        <w:tc>
          <w:tcPr>
            <w:tcW w:w="4253" w:type="dxa"/>
            <w:tcBorders>
              <w:top w:val="single" w:sz="4" w:space="0" w:color="000000"/>
              <w:left w:val="single" w:sz="4" w:space="0" w:color="000000"/>
              <w:bottom w:val="single" w:sz="4" w:space="0" w:color="000000"/>
              <w:right w:val="single" w:sz="4" w:space="0" w:color="000000"/>
            </w:tcBorders>
            <w:shd w:val="clear" w:color="auto" w:fill="1F3864"/>
          </w:tcPr>
          <w:p w14:paraId="48B4A882" w14:textId="77777777" w:rsidR="006818B5" w:rsidRDefault="00000000">
            <w:pPr>
              <w:jc w:val="both"/>
            </w:pPr>
            <w:r>
              <w:rPr>
                <w:b/>
                <w:bCs/>
                <w:color w:val="FFFFFF"/>
                <w:sz w:val="20"/>
                <w:szCs w:val="20"/>
              </w:rPr>
              <w:t>Pavyzdys</w:t>
            </w:r>
          </w:p>
        </w:tc>
      </w:tr>
      <w:tr w:rsidR="006818B5" w14:paraId="48340FE1" w14:textId="77777777">
        <w:tc>
          <w:tcPr>
            <w:tcW w:w="2500" w:type="dxa"/>
            <w:tcBorders>
              <w:top w:val="single" w:sz="4" w:space="0" w:color="000000"/>
              <w:left w:val="single" w:sz="4" w:space="0" w:color="000000"/>
              <w:bottom w:val="single" w:sz="4" w:space="0" w:color="000000"/>
              <w:right w:val="single" w:sz="4" w:space="0" w:color="000000"/>
            </w:tcBorders>
          </w:tcPr>
          <w:p w14:paraId="0F075577" w14:textId="77777777" w:rsidR="006818B5" w:rsidRDefault="00000000">
            <w:pPr>
              <w:jc w:val="both"/>
            </w:pPr>
            <w:r>
              <w:rPr>
                <w:sz w:val="20"/>
                <w:szCs w:val="20"/>
              </w:rPr>
              <w:t>Vieno teisingo atsakymo (uždaras)</w:t>
            </w:r>
          </w:p>
        </w:tc>
        <w:tc>
          <w:tcPr>
            <w:tcW w:w="2740" w:type="dxa"/>
            <w:tcBorders>
              <w:top w:val="single" w:sz="4" w:space="0" w:color="000000"/>
              <w:left w:val="single" w:sz="4" w:space="0" w:color="000000"/>
              <w:bottom w:val="single" w:sz="4" w:space="0" w:color="000000"/>
              <w:right w:val="single" w:sz="4" w:space="0" w:color="000000"/>
            </w:tcBorders>
          </w:tcPr>
          <w:p w14:paraId="27666E94" w14:textId="77777777" w:rsidR="006818B5" w:rsidRDefault="00000000">
            <w:pPr>
              <w:jc w:val="both"/>
            </w:pPr>
            <w:r>
              <w:rPr>
                <w:sz w:val="20"/>
                <w:szCs w:val="20"/>
              </w:rPr>
              <w:t>Faktinėms žinioms tikrinti</w:t>
            </w:r>
          </w:p>
        </w:tc>
        <w:tc>
          <w:tcPr>
            <w:tcW w:w="4253" w:type="dxa"/>
            <w:tcBorders>
              <w:top w:val="single" w:sz="4" w:space="0" w:color="000000"/>
              <w:left w:val="single" w:sz="4" w:space="0" w:color="000000"/>
              <w:bottom w:val="single" w:sz="4" w:space="0" w:color="000000"/>
              <w:right w:val="single" w:sz="4" w:space="0" w:color="000000"/>
            </w:tcBorders>
          </w:tcPr>
          <w:p w14:paraId="1FACEE06" w14:textId="77777777" w:rsidR="006818B5" w:rsidRDefault="00000000">
            <w:pPr>
              <w:jc w:val="both"/>
            </w:pPr>
            <w:r>
              <w:rPr>
                <w:sz w:val="20"/>
                <w:szCs w:val="20"/>
              </w:rPr>
              <w:t>„Kokiu telefono numeriu pranešama apie ekstremalią situaciją?“</w:t>
            </w:r>
          </w:p>
        </w:tc>
      </w:tr>
      <w:tr w:rsidR="006818B5" w14:paraId="220434F7" w14:textId="77777777">
        <w:tc>
          <w:tcPr>
            <w:tcW w:w="2500" w:type="dxa"/>
            <w:tcBorders>
              <w:top w:val="single" w:sz="4" w:space="0" w:color="000000"/>
              <w:left w:val="single" w:sz="4" w:space="0" w:color="000000"/>
              <w:bottom w:val="single" w:sz="4" w:space="0" w:color="000000"/>
              <w:right w:val="single" w:sz="4" w:space="0" w:color="000000"/>
            </w:tcBorders>
            <w:shd w:val="clear" w:color="auto" w:fill="F2F2F2"/>
          </w:tcPr>
          <w:p w14:paraId="10521151" w14:textId="77777777" w:rsidR="006818B5" w:rsidRDefault="00000000">
            <w:pPr>
              <w:jc w:val="both"/>
            </w:pPr>
            <w:r>
              <w:rPr>
                <w:sz w:val="20"/>
                <w:szCs w:val="20"/>
              </w:rPr>
              <w:t>Kelių teisingų atsakymų</w:t>
            </w:r>
          </w:p>
        </w:tc>
        <w:tc>
          <w:tcPr>
            <w:tcW w:w="2740" w:type="dxa"/>
            <w:tcBorders>
              <w:top w:val="single" w:sz="4" w:space="0" w:color="000000"/>
              <w:left w:val="single" w:sz="4" w:space="0" w:color="000000"/>
              <w:bottom w:val="single" w:sz="4" w:space="0" w:color="000000"/>
              <w:right w:val="single" w:sz="4" w:space="0" w:color="000000"/>
            </w:tcBorders>
            <w:shd w:val="clear" w:color="auto" w:fill="F2F2F2"/>
          </w:tcPr>
          <w:p w14:paraId="376F1D74" w14:textId="77777777" w:rsidR="006818B5" w:rsidRDefault="00000000">
            <w:pPr>
              <w:jc w:val="both"/>
            </w:pPr>
            <w:r>
              <w:rPr>
                <w:sz w:val="20"/>
                <w:szCs w:val="20"/>
              </w:rPr>
              <w:t>Kai atsakymų gali būti keli</w:t>
            </w:r>
          </w:p>
        </w:tc>
        <w:tc>
          <w:tcPr>
            <w:tcW w:w="4253" w:type="dxa"/>
            <w:tcBorders>
              <w:top w:val="single" w:sz="4" w:space="0" w:color="000000"/>
              <w:left w:val="single" w:sz="4" w:space="0" w:color="000000"/>
              <w:bottom w:val="single" w:sz="4" w:space="0" w:color="000000"/>
              <w:right w:val="single" w:sz="4" w:space="0" w:color="000000"/>
            </w:tcBorders>
            <w:shd w:val="clear" w:color="auto" w:fill="F2F2F2"/>
          </w:tcPr>
          <w:p w14:paraId="3CC9BA7D" w14:textId="77777777" w:rsidR="006818B5" w:rsidRDefault="00000000">
            <w:pPr>
              <w:jc w:val="both"/>
            </w:pPr>
            <w:r>
              <w:rPr>
                <w:sz w:val="20"/>
                <w:szCs w:val="20"/>
              </w:rPr>
              <w:t>„Kurie iš išvardintų daiktų turėtų būti evakuacinėje kuprinėje?“</w:t>
            </w:r>
          </w:p>
        </w:tc>
      </w:tr>
      <w:tr w:rsidR="006818B5" w14:paraId="567D0E8C" w14:textId="77777777">
        <w:tc>
          <w:tcPr>
            <w:tcW w:w="2500" w:type="dxa"/>
            <w:tcBorders>
              <w:top w:val="single" w:sz="4" w:space="0" w:color="000000"/>
              <w:left w:val="single" w:sz="4" w:space="0" w:color="000000"/>
              <w:bottom w:val="single" w:sz="4" w:space="0" w:color="000000"/>
              <w:right w:val="single" w:sz="4" w:space="0" w:color="000000"/>
            </w:tcBorders>
          </w:tcPr>
          <w:p w14:paraId="16709C42" w14:textId="77777777" w:rsidR="006818B5" w:rsidRDefault="00000000">
            <w:pPr>
              <w:jc w:val="both"/>
            </w:pPr>
            <w:r>
              <w:rPr>
                <w:sz w:val="20"/>
                <w:szCs w:val="20"/>
              </w:rPr>
              <w:t>Teisingai / neteisingai</w:t>
            </w:r>
          </w:p>
        </w:tc>
        <w:tc>
          <w:tcPr>
            <w:tcW w:w="2740" w:type="dxa"/>
            <w:tcBorders>
              <w:top w:val="single" w:sz="4" w:space="0" w:color="000000"/>
              <w:left w:val="single" w:sz="4" w:space="0" w:color="000000"/>
              <w:bottom w:val="single" w:sz="4" w:space="0" w:color="000000"/>
              <w:right w:val="single" w:sz="4" w:space="0" w:color="000000"/>
            </w:tcBorders>
          </w:tcPr>
          <w:p w14:paraId="7927501D" w14:textId="77777777" w:rsidR="006818B5" w:rsidRDefault="00000000">
            <w:pPr>
              <w:jc w:val="both"/>
            </w:pPr>
            <w:r>
              <w:rPr>
                <w:sz w:val="20"/>
                <w:szCs w:val="20"/>
              </w:rPr>
              <w:t>Greitam suvokimo patikrinimui</w:t>
            </w:r>
          </w:p>
        </w:tc>
        <w:tc>
          <w:tcPr>
            <w:tcW w:w="4253" w:type="dxa"/>
            <w:tcBorders>
              <w:top w:val="single" w:sz="4" w:space="0" w:color="000000"/>
              <w:left w:val="single" w:sz="4" w:space="0" w:color="000000"/>
              <w:bottom w:val="single" w:sz="4" w:space="0" w:color="000000"/>
              <w:right w:val="single" w:sz="4" w:space="0" w:color="000000"/>
            </w:tcBorders>
          </w:tcPr>
          <w:p w14:paraId="743954F4" w14:textId="77777777" w:rsidR="006818B5" w:rsidRDefault="00000000">
            <w:pPr>
              <w:jc w:val="both"/>
            </w:pPr>
            <w:r>
              <w:rPr>
                <w:sz w:val="20"/>
                <w:szCs w:val="20"/>
              </w:rPr>
              <w:t>„Gavus perspėjimą sirena, reikia iš karto bėgti į lauką.“</w:t>
            </w:r>
          </w:p>
        </w:tc>
      </w:tr>
      <w:tr w:rsidR="006818B5" w14:paraId="2D5AE040" w14:textId="77777777">
        <w:tc>
          <w:tcPr>
            <w:tcW w:w="2500" w:type="dxa"/>
            <w:tcBorders>
              <w:top w:val="single" w:sz="4" w:space="0" w:color="000000"/>
              <w:left w:val="single" w:sz="4" w:space="0" w:color="000000"/>
              <w:bottom w:val="single" w:sz="4" w:space="0" w:color="000000"/>
              <w:right w:val="single" w:sz="4" w:space="0" w:color="000000"/>
            </w:tcBorders>
            <w:shd w:val="clear" w:color="auto" w:fill="F2F2F2"/>
          </w:tcPr>
          <w:p w14:paraId="16A3FF15" w14:textId="77777777" w:rsidR="006818B5" w:rsidRDefault="00000000">
            <w:pPr>
              <w:jc w:val="both"/>
            </w:pPr>
            <w:r>
              <w:rPr>
                <w:sz w:val="20"/>
                <w:szCs w:val="20"/>
              </w:rPr>
              <w:t>Situacijos vertinimas</w:t>
            </w:r>
          </w:p>
        </w:tc>
        <w:tc>
          <w:tcPr>
            <w:tcW w:w="2740" w:type="dxa"/>
            <w:tcBorders>
              <w:top w:val="single" w:sz="4" w:space="0" w:color="000000"/>
              <w:left w:val="single" w:sz="4" w:space="0" w:color="000000"/>
              <w:bottom w:val="single" w:sz="4" w:space="0" w:color="000000"/>
              <w:right w:val="single" w:sz="4" w:space="0" w:color="000000"/>
            </w:tcBorders>
            <w:shd w:val="clear" w:color="auto" w:fill="F2F2F2"/>
          </w:tcPr>
          <w:p w14:paraId="2C7D8386" w14:textId="77777777" w:rsidR="006818B5" w:rsidRDefault="00000000">
            <w:pPr>
              <w:jc w:val="both"/>
            </w:pPr>
            <w:r>
              <w:rPr>
                <w:sz w:val="20"/>
                <w:szCs w:val="20"/>
              </w:rPr>
              <w:t>Praktiniams įgūdžiams / gebėjimui pritaikyti žinias</w:t>
            </w:r>
          </w:p>
        </w:tc>
        <w:tc>
          <w:tcPr>
            <w:tcW w:w="4253" w:type="dxa"/>
            <w:tcBorders>
              <w:top w:val="single" w:sz="4" w:space="0" w:color="000000"/>
              <w:left w:val="single" w:sz="4" w:space="0" w:color="000000"/>
              <w:bottom w:val="single" w:sz="4" w:space="0" w:color="000000"/>
              <w:right w:val="single" w:sz="4" w:space="0" w:color="000000"/>
            </w:tcBorders>
            <w:shd w:val="clear" w:color="auto" w:fill="F2F2F2"/>
          </w:tcPr>
          <w:p w14:paraId="662B7CAD" w14:textId="77777777" w:rsidR="006818B5" w:rsidRDefault="00000000">
            <w:pPr>
              <w:jc w:val="both"/>
            </w:pPr>
            <w:r>
              <w:rPr>
                <w:sz w:val="20"/>
                <w:szCs w:val="20"/>
              </w:rPr>
              <w:t>„Ką darytumėte pirmiausia, jeigu namuose užgestų šviesa ir suskambėtų perspėjimo sirena?“</w:t>
            </w:r>
          </w:p>
        </w:tc>
      </w:tr>
      <w:tr w:rsidR="006818B5" w14:paraId="0FF7662D" w14:textId="77777777">
        <w:tc>
          <w:tcPr>
            <w:tcW w:w="2500" w:type="dxa"/>
            <w:tcBorders>
              <w:top w:val="single" w:sz="4" w:space="0" w:color="000000"/>
              <w:left w:val="single" w:sz="4" w:space="0" w:color="000000"/>
              <w:bottom w:val="single" w:sz="4" w:space="0" w:color="000000"/>
              <w:right w:val="single" w:sz="4" w:space="0" w:color="000000"/>
            </w:tcBorders>
          </w:tcPr>
          <w:p w14:paraId="1259C434" w14:textId="77777777" w:rsidR="006818B5" w:rsidRDefault="00000000">
            <w:pPr>
              <w:jc w:val="both"/>
            </w:pPr>
            <w:r>
              <w:rPr>
                <w:sz w:val="20"/>
                <w:szCs w:val="20"/>
              </w:rPr>
              <w:t>Savęs vertinimo skalė</w:t>
            </w:r>
          </w:p>
        </w:tc>
        <w:tc>
          <w:tcPr>
            <w:tcW w:w="2740" w:type="dxa"/>
            <w:tcBorders>
              <w:top w:val="single" w:sz="4" w:space="0" w:color="000000"/>
              <w:left w:val="single" w:sz="4" w:space="0" w:color="000000"/>
              <w:bottom w:val="single" w:sz="4" w:space="0" w:color="000000"/>
              <w:right w:val="single" w:sz="4" w:space="0" w:color="000000"/>
            </w:tcBorders>
          </w:tcPr>
          <w:p w14:paraId="18C8C746" w14:textId="77777777" w:rsidR="006818B5" w:rsidRDefault="00000000">
            <w:pPr>
              <w:jc w:val="both"/>
            </w:pPr>
            <w:r>
              <w:rPr>
                <w:sz w:val="20"/>
                <w:szCs w:val="20"/>
              </w:rPr>
              <w:t>Papildomai (ne vietoje žinių klausimų, o kartu su jais)</w:t>
            </w:r>
          </w:p>
        </w:tc>
        <w:tc>
          <w:tcPr>
            <w:tcW w:w="4253" w:type="dxa"/>
            <w:tcBorders>
              <w:top w:val="single" w:sz="4" w:space="0" w:color="000000"/>
              <w:left w:val="single" w:sz="4" w:space="0" w:color="000000"/>
              <w:bottom w:val="single" w:sz="4" w:space="0" w:color="000000"/>
              <w:right w:val="single" w:sz="4" w:space="0" w:color="000000"/>
            </w:tcBorders>
          </w:tcPr>
          <w:p w14:paraId="69918DBC" w14:textId="77777777" w:rsidR="006818B5" w:rsidRDefault="00000000">
            <w:pPr>
              <w:jc w:val="both"/>
            </w:pPr>
            <w:r>
              <w:rPr>
                <w:sz w:val="20"/>
                <w:szCs w:val="20"/>
              </w:rPr>
              <w:t>„Kaip vertinate savo pasirengimą ekstremaliajai situacijai (1–5)?“</w:t>
            </w:r>
          </w:p>
        </w:tc>
      </w:tr>
    </w:tbl>
    <w:p w14:paraId="21179003" w14:textId="77777777" w:rsidR="006818B5" w:rsidRDefault="00000000">
      <w:pPr>
        <w:pBdr>
          <w:left w:val="single" w:sz="18" w:space="8" w:color="1F3864"/>
        </w:pBdr>
        <w:shd w:val="clear" w:color="auto" w:fill="F2F2F2"/>
        <w:spacing w:before="80" w:after="160"/>
        <w:ind w:left="120"/>
        <w:jc w:val="both"/>
      </w:pPr>
      <w:r>
        <w:rPr>
          <w:i/>
          <w:iCs/>
          <w:color w:val="595959"/>
          <w:sz w:val="20"/>
          <w:szCs w:val="20"/>
        </w:rPr>
        <w:lastRenderedPageBreak/>
        <w:t>Savęs vertinimo (subjektyvūs) klausimai yra naudingi papildomai informacijai, tačiau patys savaime netinka Aprašo formulei taikyti, nes ji reikalauja objektyviai palyginamų balų. Rekomenduojama pagrindinį balą skaičiuoti tik pagal objektyviai vertinamus (teisingas/neteisingas atsakymas) klausimus.</w:t>
      </w:r>
    </w:p>
    <w:p w14:paraId="1FFC7764" w14:textId="77777777" w:rsidR="006818B5" w:rsidRDefault="00000000">
      <w:pPr>
        <w:pStyle w:val="Heading1"/>
        <w:jc w:val="both"/>
      </w:pPr>
      <w:bookmarkStart w:id="13" w:name="_Toc235429018"/>
      <w:r>
        <w:t>5. Duomenų fiksavimas, saugojimas ir ataskaitų teikimas</w:t>
      </w:r>
      <w:bookmarkEnd w:id="13"/>
    </w:p>
    <w:p w14:paraId="337D08ED" w14:textId="77777777" w:rsidR="006818B5" w:rsidRDefault="00000000">
      <w:pPr>
        <w:pStyle w:val="Heading2"/>
        <w:jc w:val="both"/>
      </w:pPr>
      <w:bookmarkStart w:id="14" w:name="_Toc235429019"/>
      <w:r>
        <w:t>5.1. Pirminiai dokumentai</w:t>
      </w:r>
      <w:bookmarkEnd w:id="14"/>
    </w:p>
    <w:p w14:paraId="5ECC3E84" w14:textId="77777777" w:rsidR="006818B5" w:rsidRDefault="00000000">
      <w:pPr>
        <w:spacing w:after="140" w:line="264" w:lineRule="auto"/>
        <w:jc w:val="both"/>
      </w:pPr>
      <w:r>
        <w:t>Pagal stebėsenos rodiklio R-01-004-08-04-01-04 aprašymo kortelę, pirminiai duomenų šaltiniai yra: dalyvių apklausos anketa, dalyvių žinių įvertinimo dokumentas(-ai) (testo rezultatų duomenys, ataskaita ir pan.), dalyvavimą pagrindžiantis dokumentas (užsiėmimo dalyvių sąrašas) bei tikslinę grupę pagrindžiantys dokumentai. Konkretų pirminių dokumentų sąrašą projekto vykdytojas suderina su projektą administruojančia institucija (CPVA).</w:t>
      </w:r>
    </w:p>
    <w:p w14:paraId="5C8746A9" w14:textId="77777777" w:rsidR="006818B5" w:rsidRDefault="00000000">
      <w:pPr>
        <w:pStyle w:val="Heading2"/>
        <w:jc w:val="both"/>
      </w:pPr>
      <w:bookmarkStart w:id="15" w:name="_Toc235429020"/>
      <w:r>
        <w:t>5.2. Praktinis žinių patikrinimo organizavimas</w:t>
      </w:r>
      <w:bookmarkEnd w:id="15"/>
    </w:p>
    <w:p w14:paraId="4CAEB323" w14:textId="77777777" w:rsidR="006818B5" w:rsidRDefault="00000000">
      <w:pPr>
        <w:spacing w:after="140" w:line="264" w:lineRule="auto"/>
        <w:jc w:val="both"/>
      </w:pPr>
      <w:r>
        <w:t>Atliekant projekto dalyvių žinių patikrinimą rekomenduojama laikytis tokios nuoseklios veiksmų tvarkos:</w:t>
      </w:r>
    </w:p>
    <w:p w14:paraId="651B1536" w14:textId="77777777" w:rsidR="006818B5" w:rsidRDefault="00000000">
      <w:pPr>
        <w:pStyle w:val="ListParagraph"/>
        <w:numPr>
          <w:ilvl w:val="0"/>
          <w:numId w:val="4"/>
        </w:numPr>
        <w:spacing w:after="90" w:line="264" w:lineRule="auto"/>
        <w:jc w:val="both"/>
      </w:pPr>
      <w:r>
        <w:t>Prieš pradedant veiklas – kiekvieno dalyvio pradiniame ir galutiniame teste nurodyti jo vardą ir pavardę, kad rezultatus būtų galima vienareikšmiškai susieti.</w:t>
      </w:r>
    </w:p>
    <w:p w14:paraId="5B09AE1A" w14:textId="77777777" w:rsidR="006818B5" w:rsidRDefault="00000000">
      <w:pPr>
        <w:pStyle w:val="ListParagraph"/>
        <w:numPr>
          <w:ilvl w:val="0"/>
          <w:numId w:val="4"/>
        </w:numPr>
        <w:spacing w:after="90" w:line="264" w:lineRule="auto"/>
        <w:contextualSpacing w:val="0"/>
        <w:jc w:val="both"/>
      </w:pPr>
      <w:r>
        <w:t>Užtikrinti, kad pradinis testas būtų atliktas iki pirmos veiklos pradžios, o galutinis testas – iškart pasibaigus paskutinei veiklai.</w:t>
      </w:r>
    </w:p>
    <w:p w14:paraId="1D691475" w14:textId="77777777" w:rsidR="006818B5" w:rsidRDefault="00000000">
      <w:pPr>
        <w:pStyle w:val="ListParagraph"/>
        <w:numPr>
          <w:ilvl w:val="0"/>
          <w:numId w:val="4"/>
        </w:numPr>
        <w:spacing w:after="90" w:line="264" w:lineRule="auto"/>
        <w:contextualSpacing w:val="0"/>
        <w:jc w:val="both"/>
      </w:pPr>
      <w:r>
        <w:t>Surinktus testų lapus (arba elektroninių apklausų duomenis) saugoti kartu su dalyvių sąrašais, laikantis projekto sutartyje ir Bendrajame duomenų apsaugos reglamente nustatytų reikalavimų.</w:t>
      </w:r>
    </w:p>
    <w:p w14:paraId="63428D64" w14:textId="77777777" w:rsidR="006818B5" w:rsidRDefault="00000000">
      <w:pPr>
        <w:pStyle w:val="ListParagraph"/>
        <w:numPr>
          <w:ilvl w:val="0"/>
          <w:numId w:val="4"/>
        </w:numPr>
        <w:spacing w:after="90" w:line="264" w:lineRule="auto"/>
        <w:contextualSpacing w:val="0"/>
        <w:jc w:val="both"/>
      </w:pPr>
      <w:r>
        <w:t>Suvesti rezultatus į bendrą suvestinę (pvz., skaičiuoklės failą), kurioje automatiškai apskaičiuojamas kiekvieno dalyvio ir viso projekto rodiklio pokytis pagal 3 skyriuje nurodytas formules.</w:t>
      </w:r>
    </w:p>
    <w:p w14:paraId="0B371AB6" w14:textId="77777777" w:rsidR="006818B5" w:rsidRDefault="00000000">
      <w:pPr>
        <w:pStyle w:val="ListParagraph"/>
        <w:numPr>
          <w:ilvl w:val="0"/>
          <w:numId w:val="4"/>
        </w:numPr>
        <w:spacing w:after="90" w:line="264" w:lineRule="auto"/>
        <w:contextualSpacing w:val="0"/>
        <w:jc w:val="both"/>
      </w:pPr>
      <w:r>
        <w:t>Rezultatus fiksuoti duomenų elektroninių mainų svetainės (DMS) Dalyvių administravimo modulyje ir atspindėti veiklos ataskaitose sutartyje nustatytu periodiškumu.</w:t>
      </w:r>
    </w:p>
    <w:p w14:paraId="5C086260" w14:textId="4ADCEE7C" w:rsidR="006818B5" w:rsidRDefault="00000000">
      <w:pPr>
        <w:pStyle w:val="ListParagraph"/>
        <w:numPr>
          <w:ilvl w:val="0"/>
          <w:numId w:val="4"/>
        </w:numPr>
        <w:spacing w:after="90" w:line="264" w:lineRule="auto"/>
        <w:contextualSpacing w:val="0"/>
        <w:jc w:val="both"/>
      </w:pPr>
      <w:r>
        <w:t xml:space="preserve"> Rezultatų duomenis saugoti iki projekto sutartyje nurodyto dokumentų saugojimo termino</w:t>
      </w:r>
      <w:r w:rsidR="00BF2152">
        <w:t xml:space="preserve"> pabaigos</w:t>
      </w:r>
      <w:r>
        <w:t xml:space="preserve">. </w:t>
      </w:r>
    </w:p>
    <w:p w14:paraId="12735EAB" w14:textId="77777777" w:rsidR="006818B5" w:rsidRDefault="00000000">
      <w:pPr>
        <w:pStyle w:val="Heading2"/>
        <w:jc w:val="both"/>
      </w:pPr>
      <w:bookmarkStart w:id="16" w:name="_Toc235429021"/>
      <w:r>
        <w:t>5.3. Ataskaitų teikimas</w:t>
      </w:r>
      <w:bookmarkEnd w:id="16"/>
    </w:p>
    <w:p w14:paraId="6F038CA0" w14:textId="77777777" w:rsidR="006818B5" w:rsidRDefault="00000000">
      <w:pPr>
        <w:spacing w:after="140" w:line="264" w:lineRule="auto"/>
        <w:jc w:val="both"/>
      </w:pPr>
      <w:r>
        <w:t>Už stebėsenos rodiklio reikšmės pasiekimą projekto vykdytojas atsiskaito teikdamas veiklos ataskaitas projekto sutartyje nustatytu periodiškumu. Rekomenduojama kiekvienoje ataskaitoje nurodyti: vertintų dalyvių skaičių, atliktų pradinių ir galutinių testų skaičių, apskaičiuotą bendrą pokytį procentais bei trumpą komentarą, jei rodiklis nesiekia 95 proc. (galimos priežastys, planuojami koregavimo veiksmai).</w:t>
      </w:r>
    </w:p>
    <w:p w14:paraId="30590B3C" w14:textId="77777777" w:rsidR="006818B5" w:rsidRPr="00144C3D" w:rsidRDefault="00000000">
      <w:pPr>
        <w:pBdr>
          <w:left w:val="single" w:sz="18" w:space="8" w:color="1F3864"/>
        </w:pBdr>
        <w:shd w:val="clear" w:color="auto" w:fill="F2F2F2"/>
        <w:spacing w:before="80" w:after="160"/>
        <w:ind w:left="120"/>
        <w:jc w:val="both"/>
      </w:pPr>
      <w:r w:rsidRPr="00144C3D">
        <w:rPr>
          <w:i/>
          <w:iCs/>
          <w:sz w:val="20"/>
          <w:szCs w:val="20"/>
        </w:rPr>
        <w:t>Pastaba: pagal stebėsenos rodiklio aprašymo kortelę, rodiklio reikšmė skaičiuojama kasmet, pasibaigus kalendoriniams metams, ir projekto veiklų įgyvendinimo pabaigoje. Tarpinėse ataskaitose apskaičiuota reikšmė gali kisti priklausomai nuo iki tos datos įvertintų dalyvių imties – tai atitinka nustatytą skaičiavimo periodiškumą, o galutinis rodiklio pasiekimas vertinamas projekto veiklų įgyvendinimo pabaigoje.</w:t>
      </w:r>
    </w:p>
    <w:p w14:paraId="6310B72A" w14:textId="77777777" w:rsidR="006818B5" w:rsidRDefault="00000000">
      <w:pPr>
        <w:pStyle w:val="Heading1"/>
        <w:jc w:val="both"/>
      </w:pPr>
      <w:bookmarkStart w:id="17" w:name="_Toc235429022"/>
      <w:r>
        <w:t>6. Dažniausios klaidos ir kaip jų išvengti</w:t>
      </w:r>
      <w:bookmarkEnd w:id="17"/>
    </w:p>
    <w:p w14:paraId="134FB335" w14:textId="77777777" w:rsidR="006818B5" w:rsidRDefault="00000000">
      <w:pPr>
        <w:spacing w:after="140" w:line="264" w:lineRule="auto"/>
        <w:jc w:val="both"/>
      </w:pPr>
      <w:r>
        <w:t>Praktikoje rodiklio skaičiavimą dažniausiai apsunkina keletas pasikartojančių klaidų – jas žinant lengviau jų išvengti nuo pat projekto pradžios:</w:t>
      </w:r>
    </w:p>
    <w:tbl>
      <w:tblPr>
        <w:tblW w:w="9918" w:type="dxa"/>
        <w:tblLayout w:type="fixed"/>
        <w:tblCellMar>
          <w:top w:w="80" w:type="dxa"/>
          <w:left w:w="100" w:type="dxa"/>
          <w:bottom w:w="80" w:type="dxa"/>
          <w:right w:w="100" w:type="dxa"/>
        </w:tblCellMar>
        <w:tblLook w:val="04A0" w:firstRow="1" w:lastRow="0" w:firstColumn="1" w:lastColumn="0" w:noHBand="0" w:noVBand="1"/>
      </w:tblPr>
      <w:tblGrid>
        <w:gridCol w:w="4499"/>
        <w:gridCol w:w="5419"/>
      </w:tblGrid>
      <w:tr w:rsidR="006818B5" w14:paraId="556DC7CB" w14:textId="77777777">
        <w:trPr>
          <w:tblHeader/>
        </w:trPr>
        <w:tc>
          <w:tcPr>
            <w:tcW w:w="4499" w:type="dxa"/>
            <w:tcBorders>
              <w:top w:val="single" w:sz="4" w:space="0" w:color="000000"/>
              <w:left w:val="single" w:sz="4" w:space="0" w:color="000000"/>
              <w:bottom w:val="single" w:sz="4" w:space="0" w:color="000000"/>
              <w:right w:val="single" w:sz="4" w:space="0" w:color="000000"/>
            </w:tcBorders>
            <w:shd w:val="clear" w:color="auto" w:fill="1F3864"/>
          </w:tcPr>
          <w:p w14:paraId="739AAFC6" w14:textId="77777777" w:rsidR="006818B5" w:rsidRDefault="00000000">
            <w:pPr>
              <w:jc w:val="both"/>
            </w:pPr>
            <w:r>
              <w:rPr>
                <w:b/>
                <w:bCs/>
                <w:color w:val="FFFFFF"/>
                <w:sz w:val="20"/>
                <w:szCs w:val="20"/>
              </w:rPr>
              <w:t>Klaida</w:t>
            </w:r>
          </w:p>
        </w:tc>
        <w:tc>
          <w:tcPr>
            <w:tcW w:w="5418" w:type="dxa"/>
            <w:tcBorders>
              <w:top w:val="single" w:sz="4" w:space="0" w:color="000000"/>
              <w:left w:val="single" w:sz="4" w:space="0" w:color="000000"/>
              <w:bottom w:val="single" w:sz="4" w:space="0" w:color="000000"/>
              <w:right w:val="single" w:sz="4" w:space="0" w:color="000000"/>
            </w:tcBorders>
            <w:shd w:val="clear" w:color="auto" w:fill="1F3864"/>
          </w:tcPr>
          <w:p w14:paraId="10562FA0" w14:textId="77777777" w:rsidR="006818B5" w:rsidRDefault="00000000">
            <w:pPr>
              <w:jc w:val="both"/>
            </w:pPr>
            <w:r>
              <w:rPr>
                <w:b/>
                <w:bCs/>
                <w:color w:val="FFFFFF"/>
                <w:sz w:val="20"/>
                <w:szCs w:val="20"/>
              </w:rPr>
              <w:t>Rekomendacija</w:t>
            </w:r>
          </w:p>
        </w:tc>
      </w:tr>
      <w:tr w:rsidR="006818B5" w14:paraId="73566225" w14:textId="77777777">
        <w:tc>
          <w:tcPr>
            <w:tcW w:w="4499" w:type="dxa"/>
            <w:tcBorders>
              <w:top w:val="single" w:sz="4" w:space="0" w:color="000000"/>
              <w:left w:val="single" w:sz="4" w:space="0" w:color="000000"/>
              <w:bottom w:val="single" w:sz="4" w:space="0" w:color="000000"/>
              <w:right w:val="single" w:sz="4" w:space="0" w:color="000000"/>
            </w:tcBorders>
          </w:tcPr>
          <w:p w14:paraId="6F969933" w14:textId="77777777" w:rsidR="006818B5" w:rsidRDefault="00000000">
            <w:pPr>
              <w:jc w:val="both"/>
            </w:pPr>
            <w:r>
              <w:rPr>
                <w:sz w:val="20"/>
                <w:szCs w:val="20"/>
              </w:rPr>
              <w:t xml:space="preserve">Naudojami skirtingi arba nepalyginami pradiniai ir </w:t>
            </w:r>
            <w:r>
              <w:rPr>
                <w:sz w:val="20"/>
                <w:szCs w:val="20"/>
              </w:rPr>
              <w:lastRenderedPageBreak/>
              <w:t>galutiniai testai</w:t>
            </w:r>
          </w:p>
        </w:tc>
        <w:tc>
          <w:tcPr>
            <w:tcW w:w="5418" w:type="dxa"/>
            <w:tcBorders>
              <w:top w:val="single" w:sz="4" w:space="0" w:color="000000"/>
              <w:left w:val="single" w:sz="4" w:space="0" w:color="000000"/>
              <w:bottom w:val="single" w:sz="4" w:space="0" w:color="000000"/>
              <w:right w:val="single" w:sz="4" w:space="0" w:color="000000"/>
            </w:tcBorders>
          </w:tcPr>
          <w:p w14:paraId="7F802D4A" w14:textId="77777777" w:rsidR="006818B5" w:rsidRDefault="00000000">
            <w:pPr>
              <w:jc w:val="both"/>
            </w:pPr>
            <w:r>
              <w:rPr>
                <w:sz w:val="20"/>
                <w:szCs w:val="20"/>
              </w:rPr>
              <w:lastRenderedPageBreak/>
              <w:t xml:space="preserve">Naudoti tą patį testą (leistina keisti tik klausimų eiliškumą, jei </w:t>
            </w:r>
            <w:r>
              <w:rPr>
                <w:sz w:val="20"/>
                <w:szCs w:val="20"/>
              </w:rPr>
              <w:lastRenderedPageBreak/>
              <w:t>formatas identiškas)</w:t>
            </w:r>
          </w:p>
        </w:tc>
      </w:tr>
      <w:tr w:rsidR="006818B5" w14:paraId="1167A014" w14:textId="77777777">
        <w:tc>
          <w:tcPr>
            <w:tcW w:w="4499" w:type="dxa"/>
            <w:tcBorders>
              <w:top w:val="single" w:sz="4" w:space="0" w:color="000000"/>
              <w:left w:val="single" w:sz="4" w:space="0" w:color="000000"/>
              <w:bottom w:val="single" w:sz="4" w:space="0" w:color="000000"/>
              <w:right w:val="single" w:sz="4" w:space="0" w:color="000000"/>
            </w:tcBorders>
            <w:shd w:val="clear" w:color="auto" w:fill="F2F2F2"/>
          </w:tcPr>
          <w:p w14:paraId="540025CB" w14:textId="77777777" w:rsidR="006818B5" w:rsidRDefault="00000000">
            <w:pPr>
              <w:jc w:val="both"/>
            </w:pPr>
            <w:r>
              <w:rPr>
                <w:sz w:val="20"/>
                <w:szCs w:val="20"/>
              </w:rPr>
              <w:lastRenderedPageBreak/>
              <w:t>Trūksta identifikatoriaus, susiejančio to paties dalyvio du testus</w:t>
            </w:r>
          </w:p>
        </w:tc>
        <w:tc>
          <w:tcPr>
            <w:tcW w:w="5418" w:type="dxa"/>
            <w:tcBorders>
              <w:top w:val="single" w:sz="4" w:space="0" w:color="000000"/>
              <w:left w:val="single" w:sz="4" w:space="0" w:color="000000"/>
              <w:bottom w:val="single" w:sz="4" w:space="0" w:color="000000"/>
              <w:right w:val="single" w:sz="4" w:space="0" w:color="000000"/>
            </w:tcBorders>
            <w:shd w:val="clear" w:color="auto" w:fill="F2F2F2"/>
          </w:tcPr>
          <w:p w14:paraId="24B6BC6E" w14:textId="77777777" w:rsidR="006818B5" w:rsidRDefault="00000000">
            <w:pPr>
              <w:jc w:val="both"/>
            </w:pPr>
            <w:r>
              <w:rPr>
                <w:sz w:val="20"/>
                <w:szCs w:val="20"/>
              </w:rPr>
              <w:t>Kiekviename teste aiškiai nurodyti dalyvio vardą ir pavardę</w:t>
            </w:r>
          </w:p>
        </w:tc>
      </w:tr>
      <w:tr w:rsidR="006818B5" w14:paraId="4FB757F1" w14:textId="77777777">
        <w:tc>
          <w:tcPr>
            <w:tcW w:w="4499" w:type="dxa"/>
            <w:tcBorders>
              <w:top w:val="single" w:sz="4" w:space="0" w:color="000000"/>
              <w:left w:val="single" w:sz="4" w:space="0" w:color="000000"/>
              <w:bottom w:val="single" w:sz="4" w:space="0" w:color="000000"/>
              <w:right w:val="single" w:sz="4" w:space="0" w:color="000000"/>
            </w:tcBorders>
          </w:tcPr>
          <w:p w14:paraId="4F74EA1E" w14:textId="77777777" w:rsidR="006818B5" w:rsidRDefault="00000000">
            <w:pPr>
              <w:jc w:val="both"/>
            </w:pPr>
            <w:r>
              <w:rPr>
                <w:sz w:val="20"/>
                <w:szCs w:val="20"/>
              </w:rPr>
              <w:t>Vertinami tik subjektyvūs savęs vertinimo klausimai</w:t>
            </w:r>
          </w:p>
        </w:tc>
        <w:tc>
          <w:tcPr>
            <w:tcW w:w="5418" w:type="dxa"/>
            <w:tcBorders>
              <w:top w:val="single" w:sz="4" w:space="0" w:color="000000"/>
              <w:left w:val="single" w:sz="4" w:space="0" w:color="000000"/>
              <w:bottom w:val="single" w:sz="4" w:space="0" w:color="000000"/>
              <w:right w:val="single" w:sz="4" w:space="0" w:color="000000"/>
            </w:tcBorders>
          </w:tcPr>
          <w:p w14:paraId="53466C58" w14:textId="77777777" w:rsidR="006818B5" w:rsidRDefault="00000000">
            <w:pPr>
              <w:jc w:val="both"/>
            </w:pPr>
            <w:r>
              <w:rPr>
                <w:sz w:val="20"/>
                <w:szCs w:val="20"/>
              </w:rPr>
              <w:t>Įtraukti objektyviai vertinamus (teisingas/neteisingas) žinių klausimus</w:t>
            </w:r>
          </w:p>
        </w:tc>
      </w:tr>
      <w:tr w:rsidR="006818B5" w14:paraId="6F0C21B6" w14:textId="77777777">
        <w:tc>
          <w:tcPr>
            <w:tcW w:w="4499" w:type="dxa"/>
            <w:tcBorders>
              <w:top w:val="single" w:sz="4" w:space="0" w:color="000000"/>
              <w:left w:val="single" w:sz="4" w:space="0" w:color="000000"/>
              <w:bottom w:val="single" w:sz="4" w:space="0" w:color="000000"/>
              <w:right w:val="single" w:sz="4" w:space="0" w:color="000000"/>
            </w:tcBorders>
            <w:shd w:val="clear" w:color="auto" w:fill="F2F2F2"/>
          </w:tcPr>
          <w:p w14:paraId="47B58893" w14:textId="77777777" w:rsidR="006818B5" w:rsidRDefault="00000000">
            <w:pPr>
              <w:jc w:val="both"/>
            </w:pPr>
            <w:r>
              <w:rPr>
                <w:sz w:val="20"/>
                <w:szCs w:val="20"/>
              </w:rPr>
              <w:t>Galutinis testas atliekamas praėjus ilgam laikui po veiklų</w:t>
            </w:r>
          </w:p>
        </w:tc>
        <w:tc>
          <w:tcPr>
            <w:tcW w:w="5418" w:type="dxa"/>
            <w:tcBorders>
              <w:top w:val="single" w:sz="4" w:space="0" w:color="000000"/>
              <w:left w:val="single" w:sz="4" w:space="0" w:color="000000"/>
              <w:bottom w:val="single" w:sz="4" w:space="0" w:color="000000"/>
              <w:right w:val="single" w:sz="4" w:space="0" w:color="000000"/>
            </w:tcBorders>
            <w:shd w:val="clear" w:color="auto" w:fill="F2F2F2"/>
          </w:tcPr>
          <w:p w14:paraId="1A4548F2" w14:textId="77777777" w:rsidR="006818B5" w:rsidRDefault="00000000">
            <w:pPr>
              <w:jc w:val="both"/>
            </w:pPr>
            <w:r>
              <w:rPr>
                <w:sz w:val="20"/>
                <w:szCs w:val="20"/>
              </w:rPr>
              <w:t>Galutinį testą atlikti tuoj pat pasibaigus dalyvio dalyvavimui veiklose</w:t>
            </w:r>
          </w:p>
        </w:tc>
      </w:tr>
      <w:tr w:rsidR="006818B5" w14:paraId="6F9C8EB5" w14:textId="77777777">
        <w:tc>
          <w:tcPr>
            <w:tcW w:w="4499" w:type="dxa"/>
            <w:tcBorders>
              <w:top w:val="single" w:sz="4" w:space="0" w:color="000000"/>
              <w:left w:val="single" w:sz="4" w:space="0" w:color="000000"/>
              <w:bottom w:val="single" w:sz="4" w:space="0" w:color="000000"/>
              <w:right w:val="single" w:sz="4" w:space="0" w:color="000000"/>
            </w:tcBorders>
          </w:tcPr>
          <w:p w14:paraId="3F762CFE" w14:textId="77777777" w:rsidR="006818B5" w:rsidRDefault="00000000">
            <w:pPr>
              <w:jc w:val="both"/>
            </w:pPr>
            <w:r>
              <w:rPr>
                <w:sz w:val="20"/>
                <w:szCs w:val="20"/>
              </w:rPr>
              <w:t>Duomenys nesuvedami bendrai, sunku apskaičiuoti bendrą rodiklį</w:t>
            </w:r>
          </w:p>
        </w:tc>
        <w:tc>
          <w:tcPr>
            <w:tcW w:w="5418" w:type="dxa"/>
            <w:tcBorders>
              <w:top w:val="single" w:sz="4" w:space="0" w:color="000000"/>
              <w:left w:val="single" w:sz="4" w:space="0" w:color="000000"/>
              <w:bottom w:val="single" w:sz="4" w:space="0" w:color="000000"/>
              <w:right w:val="single" w:sz="4" w:space="0" w:color="000000"/>
            </w:tcBorders>
          </w:tcPr>
          <w:p w14:paraId="33A8D913" w14:textId="77777777" w:rsidR="006818B5" w:rsidRDefault="00000000">
            <w:pPr>
              <w:jc w:val="both"/>
            </w:pPr>
            <w:r>
              <w:rPr>
                <w:sz w:val="20"/>
                <w:szCs w:val="20"/>
              </w:rPr>
              <w:t>Nuo pat pradžių naudoti bendrą suvestinės failą su automatiniu skaičiavimu</w:t>
            </w:r>
          </w:p>
        </w:tc>
      </w:tr>
      <w:tr w:rsidR="006818B5" w14:paraId="4A9E550A" w14:textId="77777777">
        <w:tc>
          <w:tcPr>
            <w:tcW w:w="4499" w:type="dxa"/>
            <w:tcBorders>
              <w:top w:val="single" w:sz="4" w:space="0" w:color="000000"/>
              <w:left w:val="single" w:sz="4" w:space="0" w:color="000000"/>
              <w:bottom w:val="single" w:sz="4" w:space="0" w:color="000000"/>
              <w:right w:val="single" w:sz="4" w:space="0" w:color="000000"/>
            </w:tcBorders>
            <w:shd w:val="clear" w:color="auto" w:fill="F2F2F2"/>
          </w:tcPr>
          <w:p w14:paraId="641BA9AB" w14:textId="77777777" w:rsidR="006818B5" w:rsidRDefault="00000000">
            <w:pPr>
              <w:jc w:val="both"/>
            </w:pPr>
            <w:r>
              <w:rPr>
                <w:sz w:val="20"/>
                <w:szCs w:val="20"/>
              </w:rPr>
              <w:t>Neaiškus dalyvių, kurie dalyvavo keliose veiklose, skaičiavimas</w:t>
            </w:r>
          </w:p>
        </w:tc>
        <w:tc>
          <w:tcPr>
            <w:tcW w:w="5418" w:type="dxa"/>
            <w:tcBorders>
              <w:top w:val="single" w:sz="4" w:space="0" w:color="000000"/>
              <w:left w:val="single" w:sz="4" w:space="0" w:color="000000"/>
              <w:bottom w:val="single" w:sz="4" w:space="0" w:color="000000"/>
              <w:right w:val="single" w:sz="4" w:space="0" w:color="000000"/>
            </w:tcBorders>
            <w:shd w:val="clear" w:color="auto" w:fill="F2F2F2"/>
          </w:tcPr>
          <w:p w14:paraId="1448DEF7" w14:textId="77777777" w:rsidR="006818B5" w:rsidRDefault="00000000">
            <w:pPr>
              <w:jc w:val="both"/>
            </w:pPr>
            <w:r>
              <w:rPr>
                <w:sz w:val="20"/>
                <w:szCs w:val="20"/>
              </w:rPr>
              <w:t>Toks dalyvis produkto rodikliui skaičiuojamas tik vieną kartą</w:t>
            </w:r>
          </w:p>
        </w:tc>
      </w:tr>
    </w:tbl>
    <w:p w14:paraId="37313A06" w14:textId="77777777" w:rsidR="006818B5" w:rsidRDefault="00000000">
      <w:pPr>
        <w:pStyle w:val="Heading1"/>
        <w:jc w:val="both"/>
      </w:pPr>
      <w:bookmarkStart w:id="18" w:name="_Toc235429023"/>
      <w:r>
        <w:t>7. Pavyzdiniai testo klausimai</w:t>
      </w:r>
      <w:bookmarkEnd w:id="18"/>
    </w:p>
    <w:p w14:paraId="768BC667" w14:textId="77777777" w:rsidR="006818B5" w:rsidRDefault="00000000">
      <w:pPr>
        <w:spacing w:after="140" w:line="264" w:lineRule="auto"/>
        <w:jc w:val="both"/>
      </w:pPr>
      <w:r>
        <w:t>Toliau pateikiamas pavyzdinis, pritaikomas žinių/įgūdžių civilinės saugos srityje testo klausimų šablonas, parodantis galimus klausimų tipus. Projekto vykdytojas testą turėtų parengti pagal konkrečios veiklos programos temas.</w:t>
      </w:r>
    </w:p>
    <w:p w14:paraId="6B474F88" w14:textId="77777777" w:rsidR="006818B5" w:rsidRDefault="00000000">
      <w:pPr>
        <w:pStyle w:val="Heading2"/>
        <w:jc w:val="both"/>
      </w:pPr>
      <w:bookmarkStart w:id="19" w:name="_Toc235429024"/>
      <w:r>
        <w:t>Civilinės saugos žinių ir įgūdžių testas</w:t>
      </w:r>
      <w:bookmarkEnd w:id="19"/>
    </w:p>
    <w:p w14:paraId="29C306D3" w14:textId="77777777" w:rsidR="006818B5" w:rsidRDefault="00000000">
      <w:pPr>
        <w:spacing w:after="140" w:line="264" w:lineRule="auto"/>
        <w:jc w:val="both"/>
      </w:pPr>
      <w:r>
        <w:t xml:space="preserve">Testo tipas: </w:t>
      </w:r>
      <w:r>
        <w:rPr>
          <w:rFonts w:ascii="Segoe UI Symbol" w:hAnsi="Segoe UI Symbol" w:cs="Segoe UI Symbol"/>
        </w:rPr>
        <w:t>☐</w:t>
      </w:r>
      <w:r>
        <w:t xml:space="preserve"> Pradinis   </w:t>
      </w:r>
      <w:r>
        <w:rPr>
          <w:rFonts w:ascii="Segoe UI Symbol" w:hAnsi="Segoe UI Symbol" w:cs="Segoe UI Symbol"/>
        </w:rPr>
        <w:t>☐</w:t>
      </w:r>
      <w:r>
        <w:t xml:space="preserve"> Galutinis</w:t>
      </w:r>
    </w:p>
    <w:p w14:paraId="39E98E37" w14:textId="77777777" w:rsidR="006818B5" w:rsidRDefault="00000000">
      <w:pPr>
        <w:spacing w:after="140" w:line="264" w:lineRule="auto"/>
        <w:jc w:val="both"/>
      </w:pPr>
      <w:r>
        <w:t>Vardas, pavardė: ______________________________     Data: ______________</w:t>
      </w:r>
    </w:p>
    <w:p w14:paraId="5001AB59" w14:textId="77777777" w:rsidR="006818B5" w:rsidRDefault="00000000">
      <w:pPr>
        <w:pStyle w:val="Heading3"/>
        <w:jc w:val="both"/>
      </w:pPr>
      <w:bookmarkStart w:id="20" w:name="_Toc235429025"/>
      <w:r>
        <w:t>1 klausimas (teisingas/neteisingas)</w:t>
      </w:r>
      <w:bookmarkEnd w:id="20"/>
    </w:p>
    <w:p w14:paraId="6B17473A" w14:textId="77777777" w:rsidR="006818B5" w:rsidRDefault="00000000">
      <w:pPr>
        <w:spacing w:after="140" w:line="264" w:lineRule="auto"/>
        <w:jc w:val="both"/>
      </w:pPr>
      <w:r>
        <w:t xml:space="preserve">Išgirdus perspėjimo sireną, pirmiausia reikia įsijungti radiją, televizorių ar kitą informacijos šaltinį, kad sužinotumėte, kas įvyko ir ką daryti.  </w:t>
      </w:r>
      <w:r>
        <w:rPr>
          <w:rFonts w:ascii="Segoe UI Symbol" w:hAnsi="Segoe UI Symbol" w:cs="Segoe UI Symbol"/>
        </w:rPr>
        <w:t>☐</w:t>
      </w:r>
      <w:r>
        <w:t xml:space="preserve"> Teisinga   </w:t>
      </w:r>
      <w:r>
        <w:rPr>
          <w:rFonts w:ascii="Segoe UI Symbol" w:hAnsi="Segoe UI Symbol" w:cs="Segoe UI Symbol"/>
        </w:rPr>
        <w:t>☐</w:t>
      </w:r>
      <w:r>
        <w:t xml:space="preserve"> Neteisinga</w:t>
      </w:r>
    </w:p>
    <w:p w14:paraId="77146A5D" w14:textId="77777777" w:rsidR="006818B5" w:rsidRDefault="00000000">
      <w:pPr>
        <w:pStyle w:val="Heading3"/>
        <w:jc w:val="both"/>
      </w:pPr>
      <w:bookmarkStart w:id="21" w:name="_Toc235429026"/>
      <w:r>
        <w:t>2 klausimas (vieno teisingo atsakymo)</w:t>
      </w:r>
      <w:bookmarkEnd w:id="21"/>
    </w:p>
    <w:p w14:paraId="65415A02" w14:textId="77777777" w:rsidR="006818B5" w:rsidRDefault="00000000">
      <w:pPr>
        <w:spacing w:after="140" w:line="264" w:lineRule="auto"/>
        <w:jc w:val="both"/>
      </w:pPr>
      <w:r>
        <w:t>Kuris iš šių numerių yra bendrasis pagalbos telefono numeris Lietuvoje?</w:t>
      </w:r>
    </w:p>
    <w:p w14:paraId="1726F20B" w14:textId="77777777" w:rsidR="006818B5" w:rsidRDefault="00000000">
      <w:pPr>
        <w:pStyle w:val="ListParagraph"/>
        <w:numPr>
          <w:ilvl w:val="0"/>
          <w:numId w:val="1"/>
        </w:numPr>
        <w:spacing w:after="90" w:line="264" w:lineRule="auto"/>
        <w:contextualSpacing w:val="0"/>
        <w:jc w:val="both"/>
      </w:pPr>
      <w:r>
        <w:t>a) 116</w:t>
      </w:r>
    </w:p>
    <w:p w14:paraId="4C205860" w14:textId="77777777" w:rsidR="006818B5" w:rsidRDefault="00000000">
      <w:pPr>
        <w:pStyle w:val="ListParagraph"/>
        <w:numPr>
          <w:ilvl w:val="0"/>
          <w:numId w:val="1"/>
        </w:numPr>
        <w:spacing w:after="90" w:line="264" w:lineRule="auto"/>
        <w:contextualSpacing w:val="0"/>
        <w:jc w:val="both"/>
      </w:pPr>
      <w:r>
        <w:t>b) 112</w:t>
      </w:r>
    </w:p>
    <w:p w14:paraId="0FEB468D" w14:textId="77777777" w:rsidR="006818B5" w:rsidRDefault="00000000">
      <w:pPr>
        <w:pStyle w:val="ListParagraph"/>
        <w:numPr>
          <w:ilvl w:val="0"/>
          <w:numId w:val="1"/>
        </w:numPr>
        <w:spacing w:after="90" w:line="264" w:lineRule="auto"/>
        <w:contextualSpacing w:val="0"/>
        <w:jc w:val="both"/>
      </w:pPr>
      <w:r>
        <w:t>c) 118</w:t>
      </w:r>
    </w:p>
    <w:p w14:paraId="4FFE435F" w14:textId="77777777" w:rsidR="006818B5" w:rsidRDefault="00000000">
      <w:pPr>
        <w:pStyle w:val="Heading3"/>
        <w:jc w:val="both"/>
      </w:pPr>
      <w:bookmarkStart w:id="22" w:name="_Toc235429027"/>
      <w:r>
        <w:t>3 klausimas (kelių teisingų atsakymų)</w:t>
      </w:r>
      <w:bookmarkEnd w:id="22"/>
    </w:p>
    <w:p w14:paraId="686B7D88" w14:textId="77777777" w:rsidR="006818B5" w:rsidRDefault="00000000">
      <w:pPr>
        <w:spacing w:after="140" w:line="264" w:lineRule="auto"/>
        <w:jc w:val="both"/>
      </w:pPr>
      <w:r>
        <w:t>Kurie iš išvardintų daiktų turėtų būti jūsų namų parengties (evakuacinėje) kuprinėje? (pažymėkite visus tinkamus)</w:t>
      </w:r>
    </w:p>
    <w:p w14:paraId="7EBBCB6E" w14:textId="77777777" w:rsidR="006818B5" w:rsidRDefault="00000000">
      <w:pPr>
        <w:pStyle w:val="ListParagraph"/>
        <w:numPr>
          <w:ilvl w:val="0"/>
          <w:numId w:val="1"/>
        </w:numPr>
        <w:spacing w:after="90" w:line="264" w:lineRule="auto"/>
        <w:contextualSpacing w:val="0"/>
        <w:jc w:val="both"/>
      </w:pPr>
      <w:r>
        <w:t>a) Geriamas vanduo ir ilgai galiojantis maistas</w:t>
      </w:r>
    </w:p>
    <w:p w14:paraId="057832ED" w14:textId="77777777" w:rsidR="006818B5" w:rsidRDefault="00000000">
      <w:pPr>
        <w:pStyle w:val="ListParagraph"/>
        <w:numPr>
          <w:ilvl w:val="0"/>
          <w:numId w:val="1"/>
        </w:numPr>
        <w:spacing w:after="90" w:line="264" w:lineRule="auto"/>
        <w:contextualSpacing w:val="0"/>
        <w:jc w:val="both"/>
      </w:pPr>
      <w:r>
        <w:t>b) Asmens dokumentų kopijos</w:t>
      </w:r>
    </w:p>
    <w:p w14:paraId="6F465A3A" w14:textId="77777777" w:rsidR="006818B5" w:rsidRDefault="00000000">
      <w:pPr>
        <w:pStyle w:val="ListParagraph"/>
        <w:numPr>
          <w:ilvl w:val="0"/>
          <w:numId w:val="1"/>
        </w:numPr>
        <w:spacing w:after="90" w:line="264" w:lineRule="auto"/>
        <w:contextualSpacing w:val="0"/>
        <w:jc w:val="both"/>
      </w:pPr>
      <w:r>
        <w:t>c) Šviežios gėlės</w:t>
      </w:r>
    </w:p>
    <w:p w14:paraId="790062BF" w14:textId="77777777" w:rsidR="006818B5" w:rsidRDefault="00000000">
      <w:pPr>
        <w:pStyle w:val="ListParagraph"/>
        <w:numPr>
          <w:ilvl w:val="0"/>
          <w:numId w:val="1"/>
        </w:numPr>
        <w:spacing w:after="90" w:line="264" w:lineRule="auto"/>
        <w:contextualSpacing w:val="0"/>
        <w:jc w:val="both"/>
      </w:pPr>
      <w:r>
        <w:t>d) Radijo imtuvas su baterijomis</w:t>
      </w:r>
    </w:p>
    <w:p w14:paraId="1ED92702" w14:textId="77777777" w:rsidR="006818B5" w:rsidRDefault="00000000">
      <w:pPr>
        <w:pStyle w:val="Heading3"/>
        <w:jc w:val="both"/>
      </w:pPr>
      <w:bookmarkStart w:id="23" w:name="_Toc235429028"/>
      <w:r>
        <w:t>4 klausimas (situacijos vertinimas)</w:t>
      </w:r>
      <w:bookmarkEnd w:id="23"/>
    </w:p>
    <w:p w14:paraId="0BBA47AE" w14:textId="77777777" w:rsidR="006818B5" w:rsidRDefault="00000000">
      <w:pPr>
        <w:spacing w:after="140" w:line="264" w:lineRule="auto"/>
        <w:jc w:val="both"/>
      </w:pPr>
      <w:r>
        <w:t>Jei būnate lauke ir išgirstate perspėjimo sireną, tačiau nežinote priežasties, ką darytumėte pirmiausia?</w:t>
      </w:r>
    </w:p>
    <w:p w14:paraId="045C8A6C" w14:textId="77777777" w:rsidR="006818B5" w:rsidRDefault="00000000">
      <w:pPr>
        <w:pStyle w:val="ListParagraph"/>
        <w:numPr>
          <w:ilvl w:val="0"/>
          <w:numId w:val="1"/>
        </w:numPr>
        <w:spacing w:after="90" w:line="264" w:lineRule="auto"/>
        <w:contextualSpacing w:val="0"/>
        <w:jc w:val="both"/>
      </w:pPr>
      <w:r>
        <w:lastRenderedPageBreak/>
        <w:t>a) Toliau tęsčiau savo veiklą, kol gausiu daugiau informacijos</w:t>
      </w:r>
    </w:p>
    <w:p w14:paraId="6D370B27" w14:textId="77777777" w:rsidR="006818B5" w:rsidRDefault="00000000">
      <w:pPr>
        <w:pStyle w:val="ListParagraph"/>
        <w:numPr>
          <w:ilvl w:val="0"/>
          <w:numId w:val="1"/>
        </w:numPr>
        <w:spacing w:after="90" w:line="264" w:lineRule="auto"/>
        <w:contextualSpacing w:val="0"/>
        <w:jc w:val="both"/>
      </w:pPr>
      <w:r>
        <w:t>b) Ieškočiau artimiausio pastato ir informacijos šaltinio</w:t>
      </w:r>
    </w:p>
    <w:p w14:paraId="73B3C0AA" w14:textId="77777777" w:rsidR="006818B5" w:rsidRDefault="00000000">
      <w:pPr>
        <w:pStyle w:val="ListParagraph"/>
        <w:numPr>
          <w:ilvl w:val="0"/>
          <w:numId w:val="1"/>
        </w:numPr>
        <w:spacing w:after="90" w:line="264" w:lineRule="auto"/>
        <w:contextualSpacing w:val="0"/>
        <w:jc w:val="both"/>
      </w:pPr>
      <w:r>
        <w:t>c) Skambinčiau draugams paklausti, ar jie girdėjo tą patį</w:t>
      </w:r>
    </w:p>
    <w:p w14:paraId="51F3305E" w14:textId="77777777" w:rsidR="006818B5" w:rsidRDefault="00000000">
      <w:pPr>
        <w:pStyle w:val="Heading3"/>
        <w:jc w:val="both"/>
      </w:pPr>
      <w:bookmarkStart w:id="24" w:name="_Toc235429029"/>
      <w:r>
        <w:t>5 klausimas (savęs vertinimas – papildoma, neįskaitoma į rodiklio balą)</w:t>
      </w:r>
      <w:bookmarkEnd w:id="24"/>
    </w:p>
    <w:p w14:paraId="799374AA" w14:textId="77777777" w:rsidR="006818B5" w:rsidRDefault="00000000">
      <w:pPr>
        <w:spacing w:after="140" w:line="264" w:lineRule="auto"/>
        <w:jc w:val="both"/>
      </w:pPr>
      <w:r>
        <w:t>Kaip vertinate savo pasirengimą veikti ekstremaliosios situacijos atveju? (1 – visai nepasirengęs, 5 – labai gerai pasirengęs)</w:t>
      </w:r>
    </w:p>
    <w:p w14:paraId="28EF9AE4" w14:textId="77777777" w:rsidR="006818B5" w:rsidRDefault="00000000">
      <w:pPr>
        <w:spacing w:after="140" w:line="264" w:lineRule="auto"/>
        <w:jc w:val="both"/>
      </w:pPr>
      <w:r>
        <w:t>1   2   3   4   5</w:t>
      </w:r>
    </w:p>
    <w:p w14:paraId="0B15DD7F" w14:textId="77777777" w:rsidR="006818B5" w:rsidRDefault="00000000">
      <w:pPr>
        <w:pBdr>
          <w:left w:val="single" w:sz="18" w:space="8" w:color="1F3864"/>
        </w:pBdr>
        <w:shd w:val="clear" w:color="auto" w:fill="F2F2F2"/>
        <w:spacing w:before="80" w:after="160"/>
        <w:ind w:left="120"/>
        <w:jc w:val="both"/>
      </w:pPr>
      <w:r>
        <w:rPr>
          <w:i/>
          <w:iCs/>
          <w:color w:val="595959"/>
          <w:sz w:val="20"/>
          <w:szCs w:val="20"/>
        </w:rPr>
        <w:t>Šis šablonas yra pavyzdys, iliustruojantis rekomenduojamą struktūrą ir klausimų tipus. Projekto vykdytojas privalo testo turinį pritaikyti pagal savo konkrečios veiklos (mokymo, seminaro, pratybų) programą.</w:t>
      </w:r>
    </w:p>
    <w:p w14:paraId="60DEFB3F" w14:textId="77777777" w:rsidR="006818B5" w:rsidRDefault="00000000">
      <w:pPr>
        <w:pStyle w:val="Heading1"/>
        <w:jc w:val="both"/>
      </w:pPr>
      <w:bookmarkStart w:id="25" w:name="_Toc235429030"/>
      <w:r>
        <w:t>8. Trumpa kontrolinė atmintinė (santrauka)</w:t>
      </w:r>
      <w:bookmarkEnd w:id="25"/>
    </w:p>
    <w:p w14:paraId="65597CDF" w14:textId="77777777" w:rsidR="006818B5" w:rsidRDefault="00000000">
      <w:pPr>
        <w:spacing w:after="140" w:line="264" w:lineRule="auto"/>
        <w:jc w:val="both"/>
      </w:pPr>
      <w:r>
        <w:t>Prieš teikiant veiklos ataskaitą siūlytina peržiūrėti šį sąrašą ir įsitikinti, kad visi žingsniai atlikti:</w:t>
      </w:r>
    </w:p>
    <w:p w14:paraId="351860D0" w14:textId="1919B431" w:rsidR="006818B5" w:rsidRDefault="00000000">
      <w:pPr>
        <w:pStyle w:val="ListParagraph"/>
        <w:numPr>
          <w:ilvl w:val="0"/>
          <w:numId w:val="1"/>
        </w:numPr>
        <w:spacing w:after="90" w:line="264" w:lineRule="auto"/>
        <w:contextualSpacing w:val="0"/>
        <w:jc w:val="both"/>
      </w:pPr>
      <w:r>
        <w:t xml:space="preserve">Testas parengtas pagal veiklos programos temas, tinkamas </w:t>
      </w:r>
      <w:r w:rsidR="00BF2152">
        <w:t>projekto tikslinėms grupėms</w:t>
      </w:r>
    </w:p>
    <w:p w14:paraId="4ED914C0" w14:textId="77777777" w:rsidR="006818B5" w:rsidRPr="00144C3D" w:rsidRDefault="00000000">
      <w:pPr>
        <w:pStyle w:val="ListParagraph"/>
        <w:numPr>
          <w:ilvl w:val="0"/>
          <w:numId w:val="1"/>
        </w:numPr>
        <w:spacing w:after="90" w:line="264" w:lineRule="auto"/>
        <w:contextualSpacing w:val="0"/>
        <w:jc w:val="both"/>
      </w:pPr>
      <w:r w:rsidRPr="00144C3D">
        <w:t>Testas pritaikytas ir negalią turintiems dalyviams (užtikrintas lygių galimybių principas)</w:t>
      </w:r>
    </w:p>
    <w:p w14:paraId="78FDDB0C" w14:textId="77777777" w:rsidR="006818B5" w:rsidRDefault="00000000">
      <w:pPr>
        <w:pStyle w:val="ListParagraph"/>
        <w:numPr>
          <w:ilvl w:val="0"/>
          <w:numId w:val="1"/>
        </w:numPr>
        <w:spacing w:after="90" w:line="264" w:lineRule="auto"/>
        <w:contextualSpacing w:val="0"/>
        <w:jc w:val="both"/>
      </w:pPr>
      <w:r>
        <w:t>Kiekviename teste nurodytas dalyvio vardas ir pavardė</w:t>
      </w:r>
    </w:p>
    <w:p w14:paraId="3DC94F46" w14:textId="77777777" w:rsidR="006818B5" w:rsidRDefault="00000000">
      <w:pPr>
        <w:pStyle w:val="ListParagraph"/>
        <w:numPr>
          <w:ilvl w:val="0"/>
          <w:numId w:val="1"/>
        </w:numPr>
        <w:spacing w:after="90" w:line="264" w:lineRule="auto"/>
        <w:contextualSpacing w:val="0"/>
        <w:jc w:val="both"/>
      </w:pPr>
      <w:r>
        <w:t>Pradinis testas atliktas iki veiklų pradžios</w:t>
      </w:r>
    </w:p>
    <w:p w14:paraId="6EF30A44" w14:textId="77777777" w:rsidR="006818B5" w:rsidRDefault="00000000">
      <w:pPr>
        <w:pStyle w:val="ListParagraph"/>
        <w:numPr>
          <w:ilvl w:val="0"/>
          <w:numId w:val="1"/>
        </w:numPr>
        <w:spacing w:after="90" w:line="264" w:lineRule="auto"/>
        <w:contextualSpacing w:val="0"/>
        <w:jc w:val="both"/>
      </w:pPr>
      <w:r>
        <w:t>Galutinis testas atliktas iškart pasibaigus veikloms</w:t>
      </w:r>
    </w:p>
    <w:p w14:paraId="7CDDCABC" w14:textId="77777777" w:rsidR="006818B5" w:rsidRDefault="00000000">
      <w:pPr>
        <w:pStyle w:val="ListParagraph"/>
        <w:numPr>
          <w:ilvl w:val="0"/>
          <w:numId w:val="1"/>
        </w:numPr>
        <w:spacing w:after="90" w:line="264" w:lineRule="auto"/>
        <w:contextualSpacing w:val="0"/>
        <w:jc w:val="both"/>
      </w:pPr>
      <w:r>
        <w:t>Rezultatai suvesti į bendrą suvestinę su automatiniu balų skaičiavimu (žr. pridedamą skaičiuoklę)</w:t>
      </w:r>
    </w:p>
    <w:p w14:paraId="63B78E33" w14:textId="77777777" w:rsidR="006818B5" w:rsidRDefault="00000000">
      <w:pPr>
        <w:pStyle w:val="ListParagraph"/>
        <w:numPr>
          <w:ilvl w:val="0"/>
          <w:numId w:val="1"/>
        </w:numPr>
        <w:spacing w:after="90" w:line="264" w:lineRule="auto"/>
        <w:contextualSpacing w:val="0"/>
        <w:jc w:val="both"/>
      </w:pPr>
      <w:r>
        <w:t>Duomenys įvesti į DMS Dalyvių administravimo modulį</w:t>
      </w:r>
    </w:p>
    <w:p w14:paraId="3D9127AF" w14:textId="77777777" w:rsidR="006818B5" w:rsidRDefault="00000000">
      <w:pPr>
        <w:pStyle w:val="ListParagraph"/>
        <w:numPr>
          <w:ilvl w:val="0"/>
          <w:numId w:val="1"/>
        </w:numPr>
        <w:spacing w:after="90" w:line="264" w:lineRule="auto"/>
        <w:contextualSpacing w:val="0"/>
        <w:jc w:val="both"/>
      </w:pPr>
      <w:r>
        <w:t>Rezultatai atspindėti veiklos ataskaitoje</w:t>
      </w:r>
    </w:p>
    <w:p w14:paraId="04AC2D2F" w14:textId="77777777" w:rsidR="006818B5" w:rsidRDefault="00000000">
      <w:pPr>
        <w:pStyle w:val="ListParagraph"/>
        <w:numPr>
          <w:ilvl w:val="0"/>
          <w:numId w:val="1"/>
        </w:numPr>
        <w:spacing w:after="90" w:line="264" w:lineRule="auto"/>
        <w:contextualSpacing w:val="0"/>
        <w:jc w:val="both"/>
      </w:pPr>
      <w:r>
        <w:t>Jei rodiklis &lt; 95 proc. – identifikuotos priežastys ir numatyti koregavimo veiksmai</w:t>
      </w:r>
    </w:p>
    <w:p w14:paraId="5C4E17EC" w14:textId="77777777" w:rsidR="006818B5" w:rsidRDefault="00000000">
      <w:pPr>
        <w:spacing w:before="300"/>
        <w:jc w:val="both"/>
      </w:pPr>
      <w:r>
        <w:rPr>
          <w:color w:val="595959"/>
        </w:rPr>
        <w:t>_____________________________________________________________</w:t>
      </w:r>
    </w:p>
    <w:p w14:paraId="3AF8AD40" w14:textId="77777777" w:rsidR="006818B5" w:rsidRDefault="00000000">
      <w:pPr>
        <w:spacing w:after="140" w:line="264" w:lineRule="auto"/>
        <w:jc w:val="both"/>
      </w:pPr>
      <w:r>
        <w:t xml:space="preserve">Kontaktinis asmuo dėl stebėsenos rodiklių (VRM): Europos Sąjungos investicijų departamento Investicijų veiksmų programos skyriaus patarėja Dalia Česlauskaitė, el. p. </w:t>
      </w:r>
      <w:proofErr w:type="spellStart"/>
      <w:r>
        <w:t>dalia.ceslauskaite@vrm.lt</w:t>
      </w:r>
      <w:proofErr w:type="spellEnd"/>
      <w:r>
        <w:t>, tel. (0 5) 271 8975.</w:t>
      </w:r>
    </w:p>
    <w:p w14:paraId="711B3508" w14:textId="77777777" w:rsidR="006818B5" w:rsidRDefault="006818B5">
      <w:pPr>
        <w:jc w:val="both"/>
      </w:pPr>
    </w:p>
    <w:sectPr w:rsidR="006818B5">
      <w:pgSz w:w="11906" w:h="16838"/>
      <w:pgMar w:top="1134" w:right="1134" w:bottom="1134" w:left="1418" w:header="0" w:footer="0" w:gutter="0"/>
      <w:cols w:space="1296"/>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1F662" w14:textId="77777777" w:rsidR="008C140B" w:rsidRDefault="008C140B">
      <w:r>
        <w:separator/>
      </w:r>
    </w:p>
  </w:endnote>
  <w:endnote w:type="continuationSeparator" w:id="0">
    <w:p w14:paraId="733EA7CA" w14:textId="77777777" w:rsidR="008C140B" w:rsidRDefault="008C1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OpenSymbol">
    <w:altName w:val="Arial Unicode MS"/>
    <w:charset w:val="01"/>
    <w:family w:val="auto"/>
    <w:pitch w:val="default"/>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Liberation Sans">
    <w:altName w:val="Arial"/>
    <w:charset w:val="01"/>
    <w:family w:val="swiss"/>
    <w:pitch w:val="variable"/>
  </w:font>
  <w:font w:name="Noto Sans CJK SC">
    <w:panose1 w:val="00000000000000000000"/>
    <w:charset w:val="00"/>
    <w:family w:val="roman"/>
    <w:notTrueType/>
    <w:pitch w:val="default"/>
  </w:font>
  <w:font w:name="FreeSans">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7374F" w14:textId="77777777" w:rsidR="008C140B" w:rsidRDefault="008C140B">
      <w:pPr>
        <w:rPr>
          <w:sz w:val="12"/>
        </w:rPr>
      </w:pPr>
      <w:r>
        <w:separator/>
      </w:r>
    </w:p>
  </w:footnote>
  <w:footnote w:type="continuationSeparator" w:id="0">
    <w:p w14:paraId="73E0A706" w14:textId="77777777" w:rsidR="008C140B" w:rsidRDefault="008C140B">
      <w:pPr>
        <w:rPr>
          <w:sz w:val="12"/>
        </w:rPr>
      </w:pPr>
      <w:r>
        <w:continuationSeparator/>
      </w:r>
    </w:p>
  </w:footnote>
  <w:footnote w:id="1">
    <w:p w14:paraId="478FDA91" w14:textId="77777777" w:rsidR="006818B5" w:rsidRDefault="00000000">
      <w:pPr>
        <w:spacing w:before="240"/>
        <w:jc w:val="both"/>
        <w:rPr>
          <w:sz w:val="18"/>
          <w:szCs w:val="18"/>
        </w:rPr>
      </w:pPr>
      <w:r>
        <w:rPr>
          <w:rStyle w:val="FootnoteCharacters"/>
        </w:rPr>
        <w:footnoteRef/>
      </w:r>
      <w:r>
        <w:t xml:space="preserve"> </w:t>
      </w:r>
      <w:r>
        <w:rPr>
          <w:color w:val="595959"/>
          <w:sz w:val="18"/>
          <w:szCs w:val="18"/>
        </w:rPr>
        <w:t xml:space="preserve">Viešojo valdymo plėtros programos pažangos priemonės Nr. 01-004-08-04-01 „Didinti visuomenės įsitraukimą į vietos problemų sprendimą“ </w:t>
      </w:r>
      <w:r>
        <w:rPr>
          <w:sz w:val="18"/>
          <w:szCs w:val="18"/>
        </w:rPr>
        <w:t xml:space="preserve">veiklos „BIVP metodo taikymas: parama vietos plėtros strategijų įgyvendinimui“ (civilinės saugos švietimas)“ </w:t>
      </w:r>
      <w:r>
        <w:rPr>
          <w:color w:val="595959"/>
          <w:sz w:val="18"/>
          <w:szCs w:val="18"/>
        </w:rPr>
        <w:t>projektų finansavimo sąlygų aprašo (toliau – Aprašo 7 priedas)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13DB1"/>
    <w:multiLevelType w:val="multilevel"/>
    <w:tmpl w:val="FD6EFE9E"/>
    <w:lvl w:ilvl="0">
      <w:start w:val="1"/>
      <w:numFmt w:val="decimal"/>
      <w:lvlText w:val="%1."/>
      <w:lvlJc w:val="left"/>
      <w:pPr>
        <w:tabs>
          <w:tab w:val="num" w:pos="0"/>
        </w:tabs>
        <w:ind w:left="420" w:hanging="2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 w15:restartNumberingAfterBreak="0">
    <w:nsid w:val="21811231"/>
    <w:multiLevelType w:val="multilevel"/>
    <w:tmpl w:val="29027B08"/>
    <w:lvl w:ilvl="0">
      <w:start w:val="1"/>
      <w:numFmt w:val="decimal"/>
      <w:lvlText w:val="%1."/>
      <w:lvlJc w:val="left"/>
      <w:pPr>
        <w:tabs>
          <w:tab w:val="num" w:pos="0"/>
        </w:tabs>
        <w:ind w:left="520" w:hanging="360"/>
      </w:pPr>
    </w:lvl>
    <w:lvl w:ilvl="1">
      <w:start w:val="1"/>
      <w:numFmt w:val="lowerLetter"/>
      <w:lvlText w:val="%2."/>
      <w:lvlJc w:val="left"/>
      <w:pPr>
        <w:tabs>
          <w:tab w:val="num" w:pos="0"/>
        </w:tabs>
        <w:ind w:left="1240" w:hanging="360"/>
      </w:pPr>
    </w:lvl>
    <w:lvl w:ilvl="2">
      <w:start w:val="1"/>
      <w:numFmt w:val="lowerRoman"/>
      <w:lvlText w:val="%3."/>
      <w:lvlJc w:val="right"/>
      <w:pPr>
        <w:tabs>
          <w:tab w:val="num" w:pos="0"/>
        </w:tabs>
        <w:ind w:left="1960" w:hanging="180"/>
      </w:pPr>
    </w:lvl>
    <w:lvl w:ilvl="3">
      <w:start w:val="1"/>
      <w:numFmt w:val="decimal"/>
      <w:lvlText w:val="%4."/>
      <w:lvlJc w:val="left"/>
      <w:pPr>
        <w:tabs>
          <w:tab w:val="num" w:pos="0"/>
        </w:tabs>
        <w:ind w:left="2680" w:hanging="360"/>
      </w:pPr>
    </w:lvl>
    <w:lvl w:ilvl="4">
      <w:start w:val="1"/>
      <w:numFmt w:val="lowerLetter"/>
      <w:lvlText w:val="%5."/>
      <w:lvlJc w:val="left"/>
      <w:pPr>
        <w:tabs>
          <w:tab w:val="num" w:pos="0"/>
        </w:tabs>
        <w:ind w:left="3400" w:hanging="360"/>
      </w:pPr>
    </w:lvl>
    <w:lvl w:ilvl="5">
      <w:start w:val="1"/>
      <w:numFmt w:val="lowerRoman"/>
      <w:lvlText w:val="%6."/>
      <w:lvlJc w:val="right"/>
      <w:pPr>
        <w:tabs>
          <w:tab w:val="num" w:pos="0"/>
        </w:tabs>
        <w:ind w:left="4120" w:hanging="180"/>
      </w:pPr>
    </w:lvl>
    <w:lvl w:ilvl="6">
      <w:start w:val="1"/>
      <w:numFmt w:val="decimal"/>
      <w:lvlText w:val="%7."/>
      <w:lvlJc w:val="left"/>
      <w:pPr>
        <w:tabs>
          <w:tab w:val="num" w:pos="0"/>
        </w:tabs>
        <w:ind w:left="4840" w:hanging="360"/>
      </w:pPr>
    </w:lvl>
    <w:lvl w:ilvl="7">
      <w:start w:val="1"/>
      <w:numFmt w:val="lowerLetter"/>
      <w:lvlText w:val="%8."/>
      <w:lvlJc w:val="left"/>
      <w:pPr>
        <w:tabs>
          <w:tab w:val="num" w:pos="0"/>
        </w:tabs>
        <w:ind w:left="5560" w:hanging="360"/>
      </w:pPr>
    </w:lvl>
    <w:lvl w:ilvl="8">
      <w:start w:val="1"/>
      <w:numFmt w:val="lowerRoman"/>
      <w:lvlText w:val="%9."/>
      <w:lvlJc w:val="right"/>
      <w:pPr>
        <w:tabs>
          <w:tab w:val="num" w:pos="0"/>
        </w:tabs>
        <w:ind w:left="6280" w:hanging="180"/>
      </w:pPr>
    </w:lvl>
  </w:abstractNum>
  <w:abstractNum w:abstractNumId="2" w15:restartNumberingAfterBreak="0">
    <w:nsid w:val="227943C9"/>
    <w:multiLevelType w:val="multilevel"/>
    <w:tmpl w:val="75C807C0"/>
    <w:lvl w:ilvl="0">
      <w:start w:val="1"/>
      <w:numFmt w:val="bullet"/>
      <w:lvlText w:val=""/>
      <w:lvlJc w:val="left"/>
      <w:pPr>
        <w:tabs>
          <w:tab w:val="num" w:pos="0"/>
        </w:tabs>
        <w:ind w:left="420" w:hanging="260"/>
      </w:pPr>
      <w:rPr>
        <w:rFonts w:ascii="Symbol" w:hAnsi="Symbol" w:cs="Symbol" w:hint="default"/>
      </w:rPr>
    </w:lvl>
    <w:lvl w:ilvl="1">
      <w:start w:val="1"/>
      <w:numFmt w:val="bullet"/>
      <w:lvlText w:val="◦"/>
      <w:lvlJc w:val="left"/>
      <w:pPr>
        <w:tabs>
          <w:tab w:val="num" w:pos="0"/>
        </w:tabs>
        <w:ind w:left="820" w:hanging="260"/>
      </w:pPr>
      <w:rPr>
        <w:rFonts w:ascii="OpenSymbol" w:hAnsi="OpenSymbol" w:cs="OpenSymbol" w:hint="default"/>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 w15:restartNumberingAfterBreak="0">
    <w:nsid w:val="2E733148"/>
    <w:multiLevelType w:val="multilevel"/>
    <w:tmpl w:val="C480126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7A893038"/>
    <w:multiLevelType w:val="multilevel"/>
    <w:tmpl w:val="26480956"/>
    <w:lvl w:ilvl="0">
      <w:start w:val="1"/>
      <w:numFmt w:val="decimal"/>
      <w:lvlText w:val="%1."/>
      <w:lvlJc w:val="left"/>
      <w:pPr>
        <w:tabs>
          <w:tab w:val="num" w:pos="0"/>
        </w:tabs>
        <w:ind w:left="520" w:hanging="360"/>
      </w:pPr>
    </w:lvl>
    <w:lvl w:ilvl="1">
      <w:start w:val="1"/>
      <w:numFmt w:val="lowerLetter"/>
      <w:lvlText w:val="%2."/>
      <w:lvlJc w:val="left"/>
      <w:pPr>
        <w:tabs>
          <w:tab w:val="num" w:pos="0"/>
        </w:tabs>
        <w:ind w:left="1240" w:hanging="360"/>
      </w:pPr>
    </w:lvl>
    <w:lvl w:ilvl="2">
      <w:start w:val="1"/>
      <w:numFmt w:val="lowerRoman"/>
      <w:lvlText w:val="%3."/>
      <w:lvlJc w:val="right"/>
      <w:pPr>
        <w:tabs>
          <w:tab w:val="num" w:pos="0"/>
        </w:tabs>
        <w:ind w:left="1960" w:hanging="180"/>
      </w:pPr>
    </w:lvl>
    <w:lvl w:ilvl="3">
      <w:start w:val="1"/>
      <w:numFmt w:val="decimal"/>
      <w:lvlText w:val="%4."/>
      <w:lvlJc w:val="left"/>
      <w:pPr>
        <w:tabs>
          <w:tab w:val="num" w:pos="0"/>
        </w:tabs>
        <w:ind w:left="2680" w:hanging="360"/>
      </w:pPr>
    </w:lvl>
    <w:lvl w:ilvl="4">
      <w:start w:val="1"/>
      <w:numFmt w:val="lowerLetter"/>
      <w:lvlText w:val="%5."/>
      <w:lvlJc w:val="left"/>
      <w:pPr>
        <w:tabs>
          <w:tab w:val="num" w:pos="0"/>
        </w:tabs>
        <w:ind w:left="3400" w:hanging="360"/>
      </w:pPr>
    </w:lvl>
    <w:lvl w:ilvl="5">
      <w:start w:val="1"/>
      <w:numFmt w:val="lowerRoman"/>
      <w:lvlText w:val="%6."/>
      <w:lvlJc w:val="right"/>
      <w:pPr>
        <w:tabs>
          <w:tab w:val="num" w:pos="0"/>
        </w:tabs>
        <w:ind w:left="4120" w:hanging="180"/>
      </w:pPr>
    </w:lvl>
    <w:lvl w:ilvl="6">
      <w:start w:val="1"/>
      <w:numFmt w:val="decimal"/>
      <w:lvlText w:val="%7."/>
      <w:lvlJc w:val="left"/>
      <w:pPr>
        <w:tabs>
          <w:tab w:val="num" w:pos="0"/>
        </w:tabs>
        <w:ind w:left="4840" w:hanging="360"/>
      </w:pPr>
    </w:lvl>
    <w:lvl w:ilvl="7">
      <w:start w:val="1"/>
      <w:numFmt w:val="lowerLetter"/>
      <w:lvlText w:val="%8."/>
      <w:lvlJc w:val="left"/>
      <w:pPr>
        <w:tabs>
          <w:tab w:val="num" w:pos="0"/>
        </w:tabs>
        <w:ind w:left="5560" w:hanging="360"/>
      </w:pPr>
    </w:lvl>
    <w:lvl w:ilvl="8">
      <w:start w:val="1"/>
      <w:numFmt w:val="lowerRoman"/>
      <w:lvlText w:val="%9."/>
      <w:lvlJc w:val="right"/>
      <w:pPr>
        <w:tabs>
          <w:tab w:val="num" w:pos="0"/>
        </w:tabs>
        <w:ind w:left="6280" w:hanging="180"/>
      </w:pPr>
    </w:lvl>
  </w:abstractNum>
  <w:num w:numId="1" w16cid:durableId="1129713409">
    <w:abstractNumId w:val="2"/>
  </w:num>
  <w:num w:numId="2" w16cid:durableId="1137844549">
    <w:abstractNumId w:val="0"/>
  </w:num>
  <w:num w:numId="3" w16cid:durableId="1930036872">
    <w:abstractNumId w:val="4"/>
  </w:num>
  <w:num w:numId="4" w16cid:durableId="636033450">
    <w:abstractNumId w:val="1"/>
  </w:num>
  <w:num w:numId="5" w16cid:durableId="1724597450">
    <w:abstractNumId w:val="3"/>
  </w:num>
  <w:num w:numId="6" w16cid:durableId="864756192">
    <w:abstractNumId w:val="2"/>
    <w:lvlOverride w:ilvl="0">
      <w:startOverride w:val="1"/>
    </w:lvlOverride>
  </w:num>
  <w:num w:numId="7" w16cid:durableId="21790951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8B5"/>
    <w:rsid w:val="00144C3D"/>
    <w:rsid w:val="006818B5"/>
    <w:rsid w:val="007E7798"/>
    <w:rsid w:val="008C140B"/>
    <w:rsid w:val="00926912"/>
    <w:rsid w:val="009F35B5"/>
    <w:rsid w:val="00BF2152"/>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11E8C"/>
  <w15:docId w15:val="{C7666BDC-A5C3-43D7-835A-9624C8021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2E9F"/>
    <w:rPr>
      <w:rFonts w:ascii="Calibri" w:eastAsia="Calibri" w:hAnsi="Calibri" w:cs="Calibri"/>
      <w:kern w:val="0"/>
      <w:sz w:val="22"/>
      <w:szCs w:val="22"/>
      <w:lang w:eastAsia="lt-LT"/>
      <w14:ligatures w14:val="none"/>
    </w:rPr>
  </w:style>
  <w:style w:type="paragraph" w:styleId="Heading1">
    <w:name w:val="heading 1"/>
    <w:basedOn w:val="Normal"/>
    <w:next w:val="Normal"/>
    <w:link w:val="Heading1Char"/>
    <w:uiPriority w:val="9"/>
    <w:qFormat/>
    <w:rsid w:val="00F52E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52E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52E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2E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2E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2E9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2E9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2E9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2E9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F52E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sid w:val="00F52E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sid w:val="00F52E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sid w:val="00F52E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sid w:val="00F52E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sid w:val="00F52E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F52E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F52E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F52E9F"/>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F52E9F"/>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F52E9F"/>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F52E9F"/>
    <w:rPr>
      <w:i/>
      <w:iCs/>
      <w:color w:val="404040" w:themeColor="text1" w:themeTint="BF"/>
    </w:rPr>
  </w:style>
  <w:style w:type="character" w:styleId="IntenseEmphasis">
    <w:name w:val="Intense Emphasis"/>
    <w:basedOn w:val="DefaultParagraphFont"/>
    <w:uiPriority w:val="21"/>
    <w:qFormat/>
    <w:rsid w:val="00F52E9F"/>
    <w:rPr>
      <w:i/>
      <w:iCs/>
      <w:color w:val="0F4761" w:themeColor="accent1" w:themeShade="BF"/>
    </w:rPr>
  </w:style>
  <w:style w:type="character" w:customStyle="1" w:styleId="IntenseQuoteChar">
    <w:name w:val="Intense Quote Char"/>
    <w:basedOn w:val="DefaultParagraphFont"/>
    <w:link w:val="IntenseQuote"/>
    <w:uiPriority w:val="30"/>
    <w:qFormat/>
    <w:rsid w:val="00F52E9F"/>
    <w:rPr>
      <w:i/>
      <w:iCs/>
      <w:color w:val="0F4761" w:themeColor="accent1" w:themeShade="BF"/>
    </w:rPr>
  </w:style>
  <w:style w:type="character" w:styleId="IntenseReference">
    <w:name w:val="Intense Reference"/>
    <w:basedOn w:val="DefaultParagraphFont"/>
    <w:uiPriority w:val="32"/>
    <w:qFormat/>
    <w:rsid w:val="00F52E9F"/>
    <w:rPr>
      <w:b/>
      <w:bCs/>
      <w:smallCaps/>
      <w:color w:val="0F4761" w:themeColor="accent1" w:themeShade="BF"/>
      <w:spacing w:val="5"/>
    </w:rPr>
  </w:style>
  <w:style w:type="character" w:styleId="Hyperlink">
    <w:name w:val="Hyperlink"/>
    <w:uiPriority w:val="99"/>
    <w:unhideWhenUsed/>
    <w:rsid w:val="00F52E9F"/>
    <w:rPr>
      <w:color w:val="0563C1"/>
      <w:u w:val="single"/>
    </w:rPr>
  </w:style>
  <w:style w:type="character" w:styleId="CommentReference">
    <w:name w:val="annotation reference"/>
    <w:basedOn w:val="DefaultParagraphFont"/>
    <w:uiPriority w:val="99"/>
    <w:semiHidden/>
    <w:unhideWhenUsed/>
    <w:qFormat/>
    <w:rsid w:val="00CE25EA"/>
    <w:rPr>
      <w:sz w:val="16"/>
      <w:szCs w:val="16"/>
    </w:rPr>
  </w:style>
  <w:style w:type="character" w:customStyle="1" w:styleId="CommentTextChar">
    <w:name w:val="Comment Text Char"/>
    <w:basedOn w:val="DefaultParagraphFont"/>
    <w:link w:val="CommentText"/>
    <w:uiPriority w:val="99"/>
    <w:qFormat/>
    <w:rsid w:val="00CE25EA"/>
    <w:rPr>
      <w:rFonts w:ascii="Calibri" w:eastAsia="Calibri" w:hAnsi="Calibri" w:cs="Calibri"/>
      <w:kern w:val="0"/>
      <w:sz w:val="20"/>
      <w:szCs w:val="20"/>
      <w:lang w:eastAsia="lt-LT"/>
      <w14:ligatures w14:val="none"/>
    </w:rPr>
  </w:style>
  <w:style w:type="character" w:customStyle="1" w:styleId="CommentSubjectChar">
    <w:name w:val="Comment Subject Char"/>
    <w:basedOn w:val="CommentTextChar"/>
    <w:link w:val="CommentSubject"/>
    <w:uiPriority w:val="99"/>
    <w:semiHidden/>
    <w:qFormat/>
    <w:rsid w:val="00CE25EA"/>
    <w:rPr>
      <w:rFonts w:ascii="Calibri" w:eastAsia="Calibri" w:hAnsi="Calibri" w:cs="Calibri"/>
      <w:b/>
      <w:bCs/>
      <w:kern w:val="0"/>
      <w:sz w:val="20"/>
      <w:szCs w:val="20"/>
      <w:lang w:eastAsia="lt-LT"/>
      <w14:ligatures w14:val="none"/>
    </w:rPr>
  </w:style>
  <w:style w:type="character" w:customStyle="1" w:styleId="FootnoteTextChar">
    <w:name w:val="Footnote Text Char"/>
    <w:basedOn w:val="DefaultParagraphFont"/>
    <w:link w:val="FootnoteText"/>
    <w:uiPriority w:val="99"/>
    <w:semiHidden/>
    <w:qFormat/>
    <w:rsid w:val="00A54BEF"/>
    <w:rPr>
      <w:rFonts w:ascii="Calibri" w:eastAsia="Calibri" w:hAnsi="Calibri" w:cs="Calibri"/>
      <w:kern w:val="0"/>
      <w:sz w:val="20"/>
      <w:szCs w:val="20"/>
      <w:lang w:eastAsia="lt-LT"/>
      <w14:ligatures w14:val="none"/>
    </w:rPr>
  </w:style>
  <w:style w:type="character" w:customStyle="1" w:styleId="FootnoteCharacters">
    <w:name w:val="Footnote Characters"/>
    <w:basedOn w:val="DefaultParagraphFont"/>
    <w:uiPriority w:val="99"/>
    <w:semiHidden/>
    <w:unhideWhenUsed/>
    <w:qFormat/>
    <w:rsid w:val="00A54BEF"/>
    <w:rPr>
      <w:vertAlign w:val="superscript"/>
    </w:rPr>
  </w:style>
  <w:style w:type="character" w:styleId="FootnoteReference">
    <w:name w:val="footnote reference"/>
    <w:rPr>
      <w:vertAlign w:val="superscript"/>
    </w:rPr>
  </w:style>
  <w:style w:type="character" w:styleId="LineNumber">
    <w:name w:val="line number"/>
  </w:style>
  <w:style w:type="character" w:styleId="EndnoteReference">
    <w:name w:val="endnote reference"/>
    <w:rPr>
      <w:vertAlign w:val="superscript"/>
    </w:rPr>
  </w:style>
  <w:style w:type="character" w:customStyle="1" w:styleId="EndnoteCharacters">
    <w:name w:val="Endnote Characters"/>
    <w:qFormat/>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styleId="Title">
    <w:name w:val="Title"/>
    <w:basedOn w:val="Normal"/>
    <w:next w:val="Normal"/>
    <w:link w:val="TitleChar"/>
    <w:uiPriority w:val="10"/>
    <w:qFormat/>
    <w:rsid w:val="00F52E9F"/>
    <w:pPr>
      <w:spacing w:after="80"/>
      <w:contextualSpacing/>
    </w:pPr>
    <w:rPr>
      <w:rFonts w:asciiTheme="majorHAnsi" w:eastAsiaTheme="majorEastAsia" w:hAnsiTheme="majorHAnsi" w:cstheme="majorBidi"/>
      <w:spacing w:val="-10"/>
      <w:kern w:val="2"/>
      <w:sz w:val="56"/>
      <w:szCs w:val="56"/>
    </w:rPr>
  </w:style>
  <w:style w:type="paragraph" w:styleId="Subtitle">
    <w:name w:val="Subtitle"/>
    <w:basedOn w:val="Normal"/>
    <w:next w:val="Normal"/>
    <w:link w:val="SubtitleChar"/>
    <w:uiPriority w:val="11"/>
    <w:qFormat/>
    <w:rsid w:val="00F52E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2E9F"/>
    <w:pPr>
      <w:spacing w:before="160"/>
      <w:jc w:val="center"/>
    </w:pPr>
    <w:rPr>
      <w:i/>
      <w:iCs/>
      <w:color w:val="404040" w:themeColor="text1" w:themeTint="BF"/>
    </w:rPr>
  </w:style>
  <w:style w:type="paragraph" w:styleId="ListParagraph">
    <w:name w:val="List Paragraph"/>
    <w:basedOn w:val="Normal"/>
    <w:qFormat/>
    <w:rsid w:val="00F52E9F"/>
    <w:pPr>
      <w:ind w:left="720"/>
      <w:contextualSpacing/>
    </w:pPr>
  </w:style>
  <w:style w:type="paragraph" w:styleId="IntenseQuote">
    <w:name w:val="Intense Quote"/>
    <w:basedOn w:val="Normal"/>
    <w:next w:val="Normal"/>
    <w:link w:val="IntenseQuoteChar"/>
    <w:uiPriority w:val="30"/>
    <w:qFormat/>
    <w:rsid w:val="00F52E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styleId="TOC1">
    <w:name w:val="toc 1"/>
    <w:basedOn w:val="Normal"/>
    <w:next w:val="Normal"/>
    <w:autoRedefine/>
    <w:uiPriority w:val="39"/>
    <w:unhideWhenUsed/>
    <w:rsid w:val="00F52E9F"/>
    <w:pPr>
      <w:spacing w:after="100"/>
    </w:pPr>
  </w:style>
  <w:style w:type="paragraph" w:styleId="TOC2">
    <w:name w:val="toc 2"/>
    <w:basedOn w:val="Normal"/>
    <w:next w:val="Normal"/>
    <w:autoRedefine/>
    <w:uiPriority w:val="39"/>
    <w:unhideWhenUsed/>
    <w:rsid w:val="00F52E9F"/>
    <w:pPr>
      <w:spacing w:after="100"/>
      <w:ind w:left="220"/>
    </w:pPr>
  </w:style>
  <w:style w:type="paragraph" w:styleId="TOC3">
    <w:name w:val="toc 3"/>
    <w:basedOn w:val="Normal"/>
    <w:next w:val="Normal"/>
    <w:autoRedefine/>
    <w:uiPriority w:val="39"/>
    <w:unhideWhenUsed/>
    <w:rsid w:val="00F52E9F"/>
    <w:pPr>
      <w:spacing w:after="100"/>
      <w:ind w:left="440"/>
    </w:pPr>
  </w:style>
  <w:style w:type="paragraph" w:styleId="CommentText">
    <w:name w:val="annotation text"/>
    <w:basedOn w:val="Normal"/>
    <w:link w:val="CommentTextChar"/>
    <w:uiPriority w:val="99"/>
    <w:unhideWhenUsed/>
    <w:rsid w:val="00CE25EA"/>
    <w:rPr>
      <w:sz w:val="20"/>
      <w:szCs w:val="20"/>
    </w:rPr>
  </w:style>
  <w:style w:type="paragraph" w:styleId="CommentSubject">
    <w:name w:val="annotation subject"/>
    <w:basedOn w:val="CommentText"/>
    <w:next w:val="CommentText"/>
    <w:link w:val="CommentSubjectChar"/>
    <w:uiPriority w:val="99"/>
    <w:semiHidden/>
    <w:unhideWhenUsed/>
    <w:qFormat/>
    <w:rsid w:val="00CE25EA"/>
    <w:rPr>
      <w:b/>
      <w:bCs/>
    </w:rPr>
  </w:style>
  <w:style w:type="paragraph" w:styleId="Revision">
    <w:name w:val="Revision"/>
    <w:uiPriority w:val="99"/>
    <w:semiHidden/>
    <w:qFormat/>
    <w:rsid w:val="00CE25EA"/>
    <w:rPr>
      <w:rFonts w:ascii="Calibri" w:eastAsia="Calibri" w:hAnsi="Calibri" w:cs="Calibri"/>
      <w:kern w:val="0"/>
      <w:sz w:val="22"/>
      <w:szCs w:val="22"/>
      <w:lang w:eastAsia="lt-LT"/>
      <w14:ligatures w14:val="none"/>
    </w:rPr>
  </w:style>
  <w:style w:type="paragraph" w:styleId="FootnoteText">
    <w:name w:val="footnote text"/>
    <w:basedOn w:val="Normal"/>
    <w:link w:val="FootnoteTextChar"/>
    <w:uiPriority w:val="99"/>
    <w:semiHidden/>
    <w:unhideWhenUsed/>
    <w:rsid w:val="00A54BEF"/>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B5639C-F5C3-4B67-B7B5-1B6F0097CC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9663</Words>
  <Characters>5509</Characters>
  <Application>Microsoft Office Word</Application>
  <DocSecurity>0</DocSecurity>
  <Lines>45</Lines>
  <Paragraphs>30</Paragraphs>
  <ScaleCrop>false</ScaleCrop>
  <Company/>
  <LinksUpToDate>false</LinksUpToDate>
  <CharactersWithSpaces>15142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Gediminas Česonis</dc:creator>
  <dc:description/>
  <cp:lastModifiedBy>Gediminas Česonis</cp:lastModifiedBy>
  <cp:revision>2</cp:revision>
  <dcterms:created xsi:type="dcterms:W3CDTF">2026-09-07T09:47:00Z</dcterms:created>
  <dcterms:modified xsi:type="dcterms:W3CDTF">2026-09-07T09:47:00Z</dcterms:modified>
  <dc:language>en-US</dc:language>
</cp:coreProperties>
</file>